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t>4.(a) …</w:t>
      </w:r>
    </w:p>
    <w:p>
      <w:pPr>
        <w:pStyle w:val="Normal"/>
        <w:rPr>
          <w:sz w:val="24"/>
        </w:rPr>
      </w:pPr>
      <w:r>
        <w:rPr>
          <w:sz w:val="24"/>
        </w:rPr>
        <w:t>Except as described in Section 4.(b)(ii) above, the foregoing indemnification shall not apply to any Transaction losses or costs incurred by Enron with respect to authorized Transactions entered into on the Website by Enron and Counterparty.</w:t>
      </w:r>
    </w:p>
    <w:p>
      <w:pPr>
        <w:pStyle w:val="Normal"/>
        <w:rPr>
          <w:sz w:val="24"/>
        </w:rPr>
      </w:pPr>
      <w:r>
        <w:rPr>
          <w:sz w:val="24"/>
        </w:rPr>
      </w:r>
    </w:p>
    <w:p>
      <w:pPr>
        <w:pStyle w:val="Normal"/>
        <w:rPr>
          <w:sz w:val="24"/>
        </w:rPr>
      </w:pPr>
      <w:r>
        <w:rPr>
          <w:sz w:val="24"/>
        </w:rPr>
        <w:t>5.(c) …</w:t>
      </w:r>
    </w:p>
    <w:p>
      <w:pPr>
        <w:pStyle w:val="Normal"/>
        <w:rPr>
          <w:sz w:val="24"/>
        </w:rPr>
      </w:pPr>
      <w:r>
        <w:rPr>
          <w:sz w:val="24"/>
        </w:rPr>
        <w:t>In addition to the foregoing, the parties acknowledge that Counterparty is a municipal corporation subject to the Texas Public Information Act (the “Act”). If Counterparty receives an open records request under the Act for Confidential Information, Counterparty will deliver the Confidential Information to the Office of the Attorney General of the State of Texas for a determination under the Act, and shall promptly notify Enron of its action. In the event Counterparty is directed or ordered by the Office of the Attorney General or a court of competent jurisdiction to release Confidential Information, Counterparty shall notify Enron within three (3) business days of such direction or order.</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2001-06-11T17:56:00Z</dcterms:created>
  <dc:creator>Brent Harshman</dc:creator>
  <dc:description/>
  <dc:language>en-CA</dc:language>
  <cp:lastModifiedBy>HadleyD</cp:lastModifiedBy>
  <cp:lastPrinted>2001-04-19T11:34:00Z</cp:lastPrinted>
  <dcterms:modified xsi:type="dcterms:W3CDTF">2001-06-11T17:56:00Z</dcterms:modified>
  <cp:revision>2</cp:revision>
  <dc:subject/>
  <dc:title>4</dc:title>
</cp:coreProperties>
</file>