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t>MTH&amp;M DRAFT</w:t>
        <w:br/>
        <w:t xml:space="preserve"> </w:t>
      </w:r>
      <w:r>
        <w:rPr>
          <w:strike/>
        </w:rPr>
        <w:t>8/11/00</w:t>
      </w:r>
      <w:r>
        <w:rPr/>
        <w:t xml:space="preserve"> </w:t>
      </w:r>
      <w:r>
        <w:rPr>
          <w:b/>
          <w:bCs/>
          <w:u w:val="double"/>
        </w:rPr>
        <w:t>8/22/00</w:t>
      </w:r>
    </w:p>
    <w:p>
      <w:pPr>
        <w:pStyle w:val="Normal"/>
        <w:widowControl/>
        <w:spacing w:lineRule="exact" w:line="240"/>
        <w:ind w:end="180"/>
        <w:jc w:val="center"/>
        <w:rPr>
          <w:u w:val="single"/>
        </w:rPr>
      </w:pPr>
      <w:r>
        <w:rPr>
          <w:u w:val="single"/>
        </w:rPr>
      </w:r>
    </w:p>
    <w:p>
      <w:pPr>
        <w:pStyle w:val="Normal"/>
        <w:widowControl/>
        <w:spacing w:lineRule="exact" w:line="240"/>
        <w:ind w:end="180"/>
        <w:jc w:val="center"/>
        <w:rPr>
          <w:b/>
          <w:bCs/>
        </w:rPr>
      </w:pPr>
      <w:r>
        <w:rPr>
          <w:b/>
          <w:bCs/>
        </w:rPr>
        <w:t>Guaranty</w:t>
      </w:r>
    </w:p>
    <w:p>
      <w:pPr>
        <w:pStyle w:val="Normal"/>
        <w:widowControl/>
        <w:spacing w:lineRule="atLeast" w:line="240"/>
        <w:jc w:val="both"/>
        <w:rPr>
          <w:b/>
          <w:bCs/>
        </w:rPr>
      </w:pPr>
      <w:r>
        <w:rPr>
          <w:b/>
          <w:bCs/>
        </w:rPr>
      </w:r>
    </w:p>
    <w:p>
      <w:pPr>
        <w:pStyle w:val="Normal"/>
        <w:widowControl/>
        <w:rPr/>
      </w:pPr>
      <w:r>
        <w:rPr/>
        <w:tab/>
        <w:tab/>
        <w:t xml:space="preserve">This Guaranty Agreement, dated as of August </w:t>
      </w:r>
      <w:r>
        <w:rPr>
          <w:strike/>
        </w:rPr>
        <w:t>[__]</w:t>
      </w:r>
      <w:r>
        <w:rPr/>
        <w:t xml:space="preserve"> </w:t>
      </w:r>
      <w:r>
        <w:rPr>
          <w:b/>
          <w:bCs/>
          <w:u w:val="double"/>
        </w:rPr>
        <w:t>25</w:t>
      </w:r>
      <w:r>
        <w:rPr/>
        <w:t>, 2000 (this "</w:t>
      </w:r>
      <w:r>
        <w:rPr>
          <w:u w:val="single"/>
        </w:rPr>
        <w:t>Guaranty</w:t>
      </w:r>
      <w:r>
        <w:rPr/>
        <w:t>"), is made and entered into by Enron Corp., an Oregon corporation (the "</w:t>
      </w:r>
      <w:r>
        <w:rPr>
          <w:u w:val="single"/>
        </w:rPr>
        <w:t>Guarantor</w:t>
      </w:r>
      <w:r>
        <w:rPr/>
        <w:t>").</w:t>
      </w:r>
    </w:p>
    <w:p>
      <w:pPr>
        <w:pStyle w:val="Normal"/>
        <w:widowControl/>
        <w:spacing w:lineRule="atLeast" w:line="240"/>
        <w:ind w:firstLine="720" w:end="0"/>
        <w:jc w:val="both"/>
        <w:rPr/>
      </w:pPr>
      <w:r>
        <w:rPr/>
      </w:r>
    </w:p>
    <w:p>
      <w:pPr>
        <w:pStyle w:val="Normal"/>
        <w:widowControl/>
        <w:rPr/>
      </w:pPr>
      <w:r>
        <w:rPr/>
        <w:tab/>
        <w:tab/>
        <w:t>Delta Energy Corporation, an exempted limited liability company incorporated in the Cayman Islands ("</w:t>
      </w:r>
      <w:r>
        <w:rPr>
          <w:u w:val="single"/>
        </w:rPr>
        <w:t>Delta</w:t>
      </w:r>
      <w:r>
        <w:rPr/>
        <w:t>" or the "</w:t>
      </w:r>
      <w:r>
        <w:rPr>
          <w:u w:val="single"/>
        </w:rPr>
        <w:t>Counterparty</w:t>
      </w:r>
      <w:r>
        <w:rPr/>
        <w:t>") and Enron North America Corp. ("</w:t>
      </w:r>
      <w:r>
        <w:rPr>
          <w:u w:val="single"/>
        </w:rPr>
        <w:t>ENA</w:t>
      </w:r>
      <w:r>
        <w:rPr/>
        <w:t xml:space="preserve">"), a wholly owned direct subsidiary of the Guarantor, have entered into a Transaction (as defined in the Contract defined below) pursuant to a Confirmation </w:t>
      </w:r>
      <w:r>
        <w:rPr>
          <w:strike/>
        </w:rPr>
        <w:t>Agreement</w:t>
      </w:r>
      <w:r>
        <w:rPr/>
        <w:t xml:space="preserve"> dated August </w:t>
      </w:r>
      <w:r>
        <w:rPr>
          <w:strike/>
        </w:rPr>
        <w:t>[__]</w:t>
      </w:r>
      <w:r>
        <w:rPr/>
        <w:t xml:space="preserve"> </w:t>
      </w:r>
      <w:r>
        <w:rPr>
          <w:b/>
          <w:bCs/>
          <w:u w:val="double"/>
        </w:rPr>
        <w:t>25</w:t>
      </w:r>
      <w:r>
        <w:rPr/>
        <w:t>, 2000 executed by the Counterparty and ENA (the "</w:t>
      </w:r>
      <w:r>
        <w:rPr>
          <w:u w:val="single"/>
        </w:rPr>
        <w:t>Swap Transaction Confirmation</w:t>
      </w:r>
      <w:r>
        <w:rPr/>
        <w:t>") under the ISDA Master Agreement dated November 18, 1999 between the Counterparty and ENA (such Agreement (including the Swap Transaction Confirmation) as the same may from time to time be modified, amended and supplemented, shall be referred to herein as the "</w:t>
      </w:r>
      <w:r>
        <w:rPr>
          <w:u w:val="single"/>
        </w:rPr>
        <w:t>Contract</w:t>
      </w:r>
      <w:r>
        <w:rPr/>
        <w:t>").  The Guarantor will directly or indirectly benefit from the transactions to be entered into between ENA and the Counterparty.  The Contract is the "Enron/Delta Swap" referred to in the Fiscal Agency Agreement referred to below, this Guaranty is the "Enron Guaranty" referred to therein and this Guaranty constitutes a Credit Support Document of ENA as described in the Contract.</w:t>
      </w:r>
    </w:p>
    <w:p>
      <w:pPr>
        <w:pStyle w:val="Normal"/>
        <w:widowControl/>
        <w:rPr/>
      </w:pPr>
      <w:r>
        <w:rPr/>
      </w:r>
    </w:p>
    <w:p>
      <w:pPr>
        <w:pStyle w:val="Normal"/>
        <w:widowControl/>
        <w:rPr/>
      </w:pPr>
      <w:r>
        <w:rPr/>
        <w:tab/>
        <w:tab/>
        <w:t>NOW THEREFORE, in consideration of the Counterparty entering into the Contract, the Guarantor hereby covenants and agrees as follows:</w:t>
      </w:r>
    </w:p>
    <w:p>
      <w:pPr>
        <w:pStyle w:val="Normal"/>
        <w:widowControl/>
        <w:rPr/>
      </w:pPr>
      <w:r>
        <w:rPr/>
      </w:r>
    </w:p>
    <w:p>
      <w:pPr>
        <w:pStyle w:val="Normal"/>
        <w:widowControl/>
        <w:rPr/>
      </w:pPr>
      <w:r>
        <w:rPr/>
        <w:tab/>
        <w:tab/>
        <w:t xml:space="preserve">1.  </w:t>
      </w:r>
      <w:r>
        <w:rPr>
          <w:u w:val="single"/>
        </w:rPr>
        <w:t>DEFINITIONS</w:t>
      </w:r>
      <w:r>
        <w:rPr/>
        <w:t xml:space="preserve">.  As used in this Guaranty, the following terms have the following meanings: </w:t>
      </w:r>
    </w:p>
    <w:p>
      <w:pPr>
        <w:pStyle w:val="Normal"/>
        <w:widowControl/>
        <w:rPr/>
      </w:pPr>
      <w:r>
        <w:rPr/>
      </w:r>
    </w:p>
    <w:p>
      <w:pPr>
        <w:pStyle w:val="Normal"/>
        <w:widowControl/>
        <w:ind w:hanging="720" w:start="720" w:end="0"/>
        <w:rPr/>
      </w:pPr>
      <w:r>
        <w:rPr/>
        <w:tab/>
        <w:tab/>
        <w:t>"</w:t>
      </w:r>
      <w:r>
        <w:rPr>
          <w:u w:val="single"/>
        </w:rPr>
        <w:t>ENA Claim Holder</w:t>
      </w:r>
      <w:r>
        <w:rPr/>
        <w:t>" means a person or entity from time to time holding ENA Claims.  For so long as the Fiscal Agency Agreement shall be in effect, ownership of ENA Claims shall be proven by the Claims Register referred to in the Fiscal Agency Agreement.</w:t>
      </w:r>
    </w:p>
    <w:p>
      <w:pPr>
        <w:pStyle w:val="Normal"/>
        <w:widowControl/>
        <w:rPr/>
      </w:pPr>
      <w:r>
        <w:rPr/>
      </w:r>
    </w:p>
    <w:p>
      <w:pPr>
        <w:pStyle w:val="Normal"/>
        <w:widowControl/>
        <w:ind w:hanging="720" w:start="720" w:end="0"/>
        <w:rPr/>
      </w:pPr>
      <w:r>
        <w:rPr/>
        <w:tab/>
        <w:tab/>
        <w:t>"</w:t>
      </w:r>
      <w:r>
        <w:rPr>
          <w:u w:val="single"/>
        </w:rPr>
        <w:t>ENA Claims</w:t>
      </w:r>
      <w:r>
        <w:rPr/>
        <w:t>" means, collectively, all obligations (contingent or otherwise) of ENA (including, without limitation, any interest, fees or expenses) now or hereafter existing under the Contract solely with respect to the Transaction evidenced by the Swap Transaction Confirmation (including, without limitation, "Termination Claims", as defined in the Swap Transaction Confirmation, and any and all expenses referred to under Section 11 of the Contract incurred by ENA Claim Holders in enforcing their respective rights under this Guaranty (including, without limitation, fees of legal counsel)</w:t>
      </w:r>
      <w:r>
        <w:rPr>
          <w:b/>
          <w:bCs/>
          <w:u w:val="double"/>
        </w:rPr>
        <w:t>)</w:t>
      </w:r>
      <w:r>
        <w:rPr/>
        <w:t>.</w:t>
      </w:r>
    </w:p>
    <w:p>
      <w:pPr>
        <w:pStyle w:val="Normal"/>
        <w:widowControl/>
        <w:ind w:hanging="720" w:start="720" w:end="0"/>
        <w:rPr/>
      </w:pPr>
      <w:r>
        <w:rPr/>
      </w:r>
    </w:p>
    <w:p>
      <w:pPr>
        <w:pStyle w:val="Normal"/>
        <w:widowControl/>
        <w:ind w:hanging="720" w:start="720" w:end="0"/>
        <w:rPr/>
      </w:pPr>
      <w:r>
        <w:rPr/>
        <w:tab/>
        <w:tab/>
        <w:t>"</w:t>
      </w:r>
      <w:r>
        <w:rPr>
          <w:u w:val="single"/>
        </w:rPr>
        <w:t>Enron/Delta Account</w:t>
      </w:r>
      <w:r>
        <w:rPr/>
        <w:t>" has the meaning assigned to such term in the Fiscal Agency Agreement.</w:t>
      </w:r>
    </w:p>
    <w:p>
      <w:pPr>
        <w:pStyle w:val="Normal"/>
        <w:widowControl/>
        <w:rPr/>
      </w:pPr>
      <w:r>
        <w:rPr/>
      </w:r>
    </w:p>
    <w:p>
      <w:pPr>
        <w:pStyle w:val="Normal"/>
        <w:widowControl/>
        <w:ind w:firstLine="720" w:start="720" w:end="0"/>
        <w:rPr/>
      </w:pPr>
      <w:r>
        <w:rPr/>
        <w:t>"</w:t>
      </w:r>
      <w:r>
        <w:rPr>
          <w:u w:val="single"/>
        </w:rPr>
        <w:t>Fiscal Agency Agreement</w:t>
      </w:r>
      <w:r>
        <w:rPr/>
        <w:t xml:space="preserve">" means the Fiscal Agency Agreement dated as of August </w:t>
      </w:r>
      <w:r>
        <w:rPr>
          <w:strike/>
        </w:rPr>
        <w:t>[__]</w:t>
      </w:r>
      <w:r>
        <w:rPr/>
        <w:t xml:space="preserve"> </w:t>
      </w:r>
      <w:r>
        <w:rPr>
          <w:b/>
          <w:bCs/>
          <w:u w:val="double"/>
        </w:rPr>
        <w:t>25</w:t>
      </w:r>
      <w:r>
        <w:rPr/>
        <w:t>, 2000 among ENA, the Guarantor, the Counterparty, the Fiscal Agent and the Securities Intermediary referred to therein, as amended from time to time.</w:t>
      </w:r>
    </w:p>
    <w:p>
      <w:pPr>
        <w:pStyle w:val="Normal"/>
        <w:widowControl/>
        <w:ind w:firstLine="720" w:start="720" w:end="0"/>
        <w:rPr/>
      </w:pPr>
      <w:r>
        <w:rPr/>
      </w:r>
    </w:p>
    <w:p>
      <w:pPr>
        <w:pStyle w:val="Normal"/>
        <w:widowControl/>
        <w:ind w:firstLine="720" w:start="720" w:end="0"/>
        <w:rPr/>
      </w:pPr>
      <w:r>
        <w:rPr/>
        <w:t>"</w:t>
      </w:r>
      <w:r>
        <w:rPr>
          <w:u w:val="single"/>
        </w:rPr>
        <w:t>Fiscal Agent</w:t>
      </w:r>
      <w:r>
        <w:rPr/>
        <w:t xml:space="preserve">" means </w:t>
      </w:r>
      <w:r>
        <w:rPr>
          <w:strike/>
        </w:rPr>
        <w:t>[</w:t>
      </w:r>
      <w:r>
        <w:rPr/>
        <w:t>United States Trust Company of New York</w:t>
      </w:r>
      <w:r>
        <w:rPr>
          <w:strike/>
        </w:rPr>
        <w:t>]</w:t>
      </w:r>
      <w:r>
        <w:rPr/>
        <w:t>, as fiscal agent, together with its successors in such capacity.</w:t>
      </w:r>
    </w:p>
    <w:p>
      <w:pPr>
        <w:pStyle w:val="Normal"/>
        <w:widowControl/>
        <w:ind w:firstLine="720" w:start="720" w:end="0"/>
        <w:rPr/>
      </w:pPr>
      <w:r>
        <w:rPr/>
      </w:r>
    </w:p>
    <w:p>
      <w:pPr>
        <w:pStyle w:val="Normal"/>
        <w:widowControl/>
        <w:ind w:firstLine="720" w:start="720" w:end="0"/>
        <w:rPr/>
      </w:pPr>
      <w:r>
        <w:rPr/>
        <w:t>"</w:t>
      </w:r>
      <w:r>
        <w:rPr>
          <w:u w:val="single"/>
        </w:rPr>
        <w:t>Majority Holders</w:t>
      </w:r>
      <w:r>
        <w:rPr/>
        <w:t>" has the meaning assigned to such term in the Fiscal Agency Agreement.</w:t>
      </w:r>
    </w:p>
    <w:p>
      <w:pPr>
        <w:pStyle w:val="Normal"/>
        <w:widowControl/>
        <w:ind w:firstLine="720" w:start="720" w:end="0"/>
        <w:rPr/>
      </w:pPr>
      <w:r>
        <w:rPr/>
      </w:r>
    </w:p>
    <w:p>
      <w:pPr>
        <w:pStyle w:val="Normal"/>
        <w:widowControl/>
        <w:rPr/>
      </w:pPr>
      <w:r>
        <w:rPr/>
        <w:tab/>
        <w:tab/>
        <w:t xml:space="preserve">2.  </w:t>
      </w:r>
      <w:r>
        <w:rPr>
          <w:u w:val="single"/>
        </w:rPr>
        <w:t>GUARANTY</w:t>
      </w:r>
      <w:r>
        <w:rPr/>
        <w:t>.  Subject to the provisions hereof, the Guarantor hereby irrevocably and unconditionally guarantees, as primary obligor and not as surety, to each ENA Claim Holder the timely payment when due of the ENA Claims.  To the extent that ENA shall fail to pay any ENA Claims, the Guarantor shall promptly pay to the ENA Claim Holders (in the manner provided in Section 4 below) the amount due.  This Guaranty shall constitute a guarantee of payment and not of collection.</w:t>
        <w:tab/>
        <w:tab/>
      </w:r>
    </w:p>
    <w:p>
      <w:pPr>
        <w:pStyle w:val="Normal"/>
        <w:widowControl/>
        <w:rPr/>
      </w:pPr>
      <w:r>
        <w:rPr/>
      </w:r>
    </w:p>
    <w:p>
      <w:pPr>
        <w:pStyle w:val="Normal"/>
        <w:widowControl/>
        <w:rPr/>
      </w:pPr>
      <w:r>
        <w:rPr/>
        <w:tab/>
        <w:tab/>
        <w:t>The Guarantor's liability hereunder shall be and is specifically limited to payments expressly stated by the terms of the Contract to be made thereunder (including payments that are deemed to be damages) and, except to the extent specifically provided in the Contract, in no event shall the Guarantor be subject hereunder to consequential, exemplary, equitable, punitive, tort, or any other damages.</w:t>
      </w:r>
    </w:p>
    <w:p>
      <w:pPr>
        <w:pStyle w:val="Normal"/>
        <w:widowControl/>
        <w:rPr/>
      </w:pPr>
      <w:r>
        <w:rPr/>
      </w:r>
    </w:p>
    <w:p>
      <w:pPr>
        <w:pStyle w:val="Normal"/>
        <w:widowControl/>
        <w:rPr/>
      </w:pPr>
      <w:r>
        <w:rPr/>
        <w:tab/>
        <w:tab/>
        <w:t xml:space="preserve">This Guaranty, </w:t>
      </w:r>
      <w:r>
        <w:rPr>
          <w:i/>
          <w:iCs/>
        </w:rPr>
        <w:t>pari passu</w:t>
      </w:r>
      <w:r>
        <w:rPr/>
        <w:t xml:space="preserve"> with all other senior unsecured indebtedness of the Guarantor, is a continuing guaranty; it shall remain in full force and effect (subject to Section 7 hereof) and shall be binding upon the Guarantor until all the ENA Claims have been paid in full.</w:t>
      </w:r>
    </w:p>
    <w:p>
      <w:pPr>
        <w:pStyle w:val="Normal"/>
        <w:widowControl/>
        <w:rPr/>
      </w:pPr>
      <w:r>
        <w:rPr/>
      </w:r>
    </w:p>
    <w:p>
      <w:pPr>
        <w:pStyle w:val="Normal"/>
        <w:widowControl/>
        <w:rPr/>
      </w:pPr>
      <w:r>
        <w:rPr/>
        <w:tab/>
        <w:tab/>
        <w:t xml:space="preserve">3.  </w:t>
      </w:r>
      <w:r>
        <w:rPr>
          <w:u w:val="single"/>
        </w:rPr>
        <w:t>OBLIGATIONS UNCONDITIONAL</w:t>
      </w:r>
      <w:r>
        <w:rPr/>
        <w:t>.  Subject to Section 12 hereof, the Guarantor guarantees that the ENA Claims will be paid strictly in accordance with the terms of the Contract without any set off, deduction or counterclaim.  The liability of the Guarantor under this Guaranty shall be absolute and unconditional and shall not be discharged except by valid, final and irrevocable payment as herein provided, irrespective of (i) any amendment, modification or waiver of any provision of the Contract (including, without limitation, at any time or from time to time, without notice to the Guarantor, any extension of the time for any performance of or compliance with any of the ENA Claims or any waiver of such performance or compliance); or (ii) the bankruptcy, insolvency, dissolution, liquidation or financial condition of ENA; or (iii) the amount of the ENA Claims; (iv) the acceleration of the maturity of any of the ENA Claims; (v) any illegality, invalidity or unenforceability of the Contract or the ENA Claims (in each case except to the extent the same may result solely from any act or omission of an ENA Claim Holder), or any provision of applicable law, regulation, court order or other legal procedure or requirement purporting to prohibit the payment by ENA of or otherwise affecting the obligations of ENA to pay any amount payable by ENA under the Contract; or (vi) any right under the Contract or any other agreement or instrument referred to herein or therein shall be waived or any other guarantee of any of the ENA Claims or any security therefor shall be provided, substituted, released or exchanged in whole or in part or otherwise dealt with; or (vii) except for applicable statutes of limitations, any other act or omission to act or delay of any kind by ENA, any ENA Claim Holder or any other circumstance whatsoever that might, but for the provisions of this paragraph, constitute a defense to or discharge of the Guarantor's obligations hereunder, any of the ENA Claims or any other obligations of ENA under the Contract, it being the intent of this Guaranty that the obligations of the Guarantor hereunder shall be absolute and unconditional under any and all circumstances.</w:t>
      </w:r>
    </w:p>
    <w:p>
      <w:pPr>
        <w:pStyle w:val="Normal"/>
        <w:widowControl/>
        <w:ind w:firstLine="720" w:start="720" w:end="0"/>
        <w:rPr/>
      </w:pPr>
      <w:r>
        <w:rPr/>
      </w:r>
    </w:p>
    <w:p>
      <w:pPr>
        <w:pStyle w:val="Normal"/>
        <w:widowControl/>
        <w:rPr/>
      </w:pPr>
      <w:r>
        <w:rPr/>
        <w:tab/>
        <w:tab/>
        <w:t>At any time when any amount payable by ENA under the Contract is overdue and unpaid, if the Guarantor receives any amount as a result of any action against ENA or any of its property or assets or otherwise for or on account of any payment made by the Guarantor under this Guaranty, the Guarantor shall forthwith pay such amount received by it to the ENA Claim Holders, without demand, in the manner provided in Section 4 below, to be credited and applied to any such amount payable by ENA.</w:t>
      </w:r>
    </w:p>
    <w:p>
      <w:pPr>
        <w:pStyle w:val="Normal"/>
        <w:widowControl/>
        <w:spacing w:lineRule="atLeast" w:line="240"/>
        <w:jc w:val="both"/>
        <w:rPr/>
      </w:pPr>
      <w:r>
        <w:rPr/>
      </w:r>
    </w:p>
    <w:p>
      <w:pPr>
        <w:pStyle w:val="Normal"/>
        <w:widowControl/>
        <w:rPr/>
      </w:pPr>
      <w:r>
        <w:rPr/>
        <w:tab/>
        <w:tab/>
        <w:t xml:space="preserve">4.  </w:t>
      </w:r>
      <w:r>
        <w:rPr>
          <w:u w:val="single"/>
        </w:rPr>
        <w:t>DEMANDS; NOTICES; FISCAL AGENCY ARRANGEMENTS</w:t>
      </w:r>
      <w:r>
        <w:rPr/>
        <w:t xml:space="preserve">.  </w:t>
      </w:r>
    </w:p>
    <w:p>
      <w:pPr>
        <w:pStyle w:val="Normal"/>
        <w:widowControl/>
        <w:rPr/>
      </w:pPr>
      <w:r>
        <w:rPr/>
      </w:r>
    </w:p>
    <w:p>
      <w:pPr>
        <w:pStyle w:val="Normal"/>
        <w:widowControl/>
        <w:rPr/>
      </w:pPr>
      <w:r>
        <w:rPr/>
        <w:tab/>
        <w:tab/>
        <w:t xml:space="preserve">(a)  </w:t>
      </w:r>
      <w:r>
        <w:rPr>
          <w:u w:val="single"/>
        </w:rPr>
        <w:t>Payment Demands</w:t>
      </w:r>
      <w:r>
        <w:rPr/>
        <w:t>.  If (1) ENA fails or refuses to pay any ENA Claims, (2) an "Event of Default" or "Termination Event" under (and as defined in) the Contract has occurred and is continuing, and (3) any ENA Claim Holder, any person holding a security interest in any ENA Claims or the Fiscal Agent shall make a demand upon the Guarantor (hereinafter referred to as "</w:t>
      </w:r>
      <w:r>
        <w:rPr>
          <w:u w:val="single"/>
        </w:rPr>
        <w:t>Payment Demand</w:t>
      </w:r>
      <w:r>
        <w:rPr/>
        <w:t>"), then the Guarantor shall pay the ENA Claims referred to in such Payment Demand within two business days.  A Payment Demand shall be in writing and shall reasonably and briefly specify in what manner and what amount ENA has failed to pay and an explanation of why such payment is due, with a specific statement that the ENA Claim Holders are calling upon the Guarantor to pay under this Guaranty.  A single written Payment Demand shall be effective as to any specific default during the continuance of such default, until ENA or the Guarantor has cured such default, and additional written demands concerning such default shall not be required until such default is cured.  Notwithstanding anything in this Guaranty to the contrary, no Payment Demand under this Section 4(a) shall be necessary if the Guarantor is subject to any bankruptcy, reorganization, dissolution, liquidation, insolvency or other similar proceedings as to it or all or any substantial part of its assets.</w:t>
      </w:r>
    </w:p>
    <w:p>
      <w:pPr>
        <w:pStyle w:val="Normal"/>
        <w:widowControl/>
        <w:rPr/>
      </w:pPr>
      <w:r>
        <w:rPr/>
      </w:r>
    </w:p>
    <w:p>
      <w:pPr>
        <w:pStyle w:val="Normal"/>
        <w:widowControl/>
        <w:rPr/>
      </w:pPr>
      <w:r>
        <w:rPr/>
        <w:tab/>
        <w:tab/>
        <w:t xml:space="preserve">(b)  </w:t>
      </w:r>
      <w:r>
        <w:rPr>
          <w:u w:val="single"/>
        </w:rPr>
        <w:t>Payments to Enron/Delta Account</w:t>
      </w:r>
      <w:r>
        <w:rPr/>
        <w:t>.  The Guarantor hereby acknowledges and agrees that, for so long as the Fiscal Agency Agreement is in effect, all payments required to be made by it under this Guaranty are to be made by making a wire transfer to the Enron/Delta Account for application as provided in the Fiscal Agency Agreement.</w:t>
      </w:r>
    </w:p>
    <w:p>
      <w:pPr>
        <w:pStyle w:val="Normal"/>
        <w:widowControl/>
        <w:rPr/>
      </w:pPr>
      <w:r>
        <w:rPr/>
      </w:r>
    </w:p>
    <w:p>
      <w:pPr>
        <w:pStyle w:val="Normal"/>
        <w:widowControl/>
        <w:rPr/>
      </w:pPr>
      <w:r>
        <w:rPr/>
        <w:tab/>
        <w:tab/>
        <w:t xml:space="preserve">(c)  </w:t>
      </w:r>
      <w:r>
        <w:rPr>
          <w:u w:val="single"/>
        </w:rPr>
        <w:t>Transfers</w:t>
      </w:r>
      <w:r>
        <w:rPr/>
        <w:t>.  So long as the Fiscal Agency Agreement shall be in effect, Transfers of claims owing by the Guarantor to any ENA Claim Holder under this Guaranty shall be effected in accordance with the terms of the Fiscal Agency Agreement.  The terms "</w:t>
      </w:r>
      <w:r>
        <w:rPr>
          <w:u w:val="single"/>
        </w:rPr>
        <w:t>Transfer</w:t>
      </w:r>
      <w:r>
        <w:rPr/>
        <w:t>", "</w:t>
      </w:r>
      <w:r>
        <w:rPr>
          <w:u w:val="single"/>
        </w:rPr>
        <w:t>Transferred</w:t>
      </w:r>
      <w:r>
        <w:rPr/>
        <w:t>", "</w:t>
      </w:r>
      <w:r>
        <w:rPr>
          <w:u w:val="single"/>
        </w:rPr>
        <w:t>Transferor</w:t>
      </w:r>
      <w:r>
        <w:rPr/>
        <w:t>" and "</w:t>
      </w:r>
      <w:r>
        <w:rPr>
          <w:u w:val="single"/>
        </w:rPr>
        <w:t>Transferee</w:t>
      </w:r>
      <w:r>
        <w:rPr/>
        <w:t>" have the meanings assigned to such terms in the Fiscal Agency Agreement.</w:t>
      </w:r>
    </w:p>
    <w:p>
      <w:pPr>
        <w:pStyle w:val="Normal"/>
        <w:widowControl/>
        <w:rPr/>
      </w:pPr>
      <w:r>
        <w:rPr/>
      </w:r>
    </w:p>
    <w:p>
      <w:pPr>
        <w:pStyle w:val="Normal"/>
        <w:widowControl/>
        <w:rPr/>
      </w:pPr>
      <w:r>
        <w:rPr/>
        <w:tab/>
        <w:tab/>
        <w:t xml:space="preserve">(d)  </w:t>
      </w:r>
      <w:r>
        <w:rPr>
          <w:u w:val="single"/>
        </w:rPr>
        <w:t>Transfers and Payments when Fiscal Agency Agreement Not in Effect</w:t>
      </w:r>
      <w:r>
        <w:rPr/>
        <w:t xml:space="preserve">.  At any time when the Fiscal Agency Agreement is not in effect, the Guarantor shall be authorized to pay each person in whose name the ENA Claims are registered in the Claims Register maintained under the Fiscal Agency Agreement as of the time it ceased to be in effect (to the extent of the ENA Claims held by such person) until the Guarantor receives notification that the ENA Claims held by such person have been assigned and that payment is to be made to the assignee, </w:t>
      </w:r>
      <w:r>
        <w:rPr>
          <w:i/>
          <w:iCs/>
        </w:rPr>
        <w:t>provided</w:t>
      </w:r>
      <w:r>
        <w:rPr/>
        <w:t xml:space="preserve"> that (1) a notification that does not reasonably identify the rights assigned shall be ineffective and (2) the assignee of ENA Claims must timely furnish reasonable proof that the assignment has been made, and unless such assignee does so the Guarantor may pay the assignor.</w:t>
      </w:r>
    </w:p>
    <w:p>
      <w:pPr>
        <w:pStyle w:val="Normal"/>
        <w:widowControl/>
        <w:spacing w:lineRule="atLeast" w:line="240"/>
        <w:jc w:val="both"/>
        <w:rPr/>
      </w:pPr>
      <w:r>
        <w:rPr/>
      </w:r>
    </w:p>
    <w:p>
      <w:pPr>
        <w:pStyle w:val="Normal"/>
        <w:widowControl/>
        <w:rPr/>
      </w:pPr>
      <w:r>
        <w:rPr/>
        <w:tab/>
        <w:tab/>
        <w:t xml:space="preserve">5.  </w:t>
      </w:r>
      <w:r>
        <w:rPr>
          <w:u w:val="single"/>
        </w:rPr>
        <w:t>REPRESENTATIONS AND WARRANTIES</w:t>
      </w:r>
      <w:r>
        <w:rPr/>
        <w:t>.  The Guarantor represents and warrants that:</w:t>
      </w:r>
    </w:p>
    <w:p>
      <w:pPr>
        <w:pStyle w:val="Normal"/>
        <w:widowControl/>
        <w:rPr/>
      </w:pPr>
      <w:r>
        <w:rPr/>
      </w:r>
    </w:p>
    <w:p>
      <w:pPr>
        <w:pStyle w:val="Normal"/>
        <w:widowControl/>
        <w:ind w:firstLine="720" w:start="720" w:end="0"/>
        <w:rPr/>
      </w:pPr>
      <w:r>
        <w:rPr/>
        <w:t>(a)  it is a corporation duly organized and validly existing under the laws of the State of Oregon and has the corporate power and authority to execute, deliver and carry out its obligations under this Guaranty and the Fiscal Agency Agreement;</w:t>
      </w:r>
    </w:p>
    <w:p>
      <w:pPr>
        <w:pStyle w:val="Normal"/>
        <w:widowControl/>
        <w:spacing w:lineRule="atLeast" w:line="240"/>
        <w:ind w:firstLine="720" w:end="0"/>
        <w:jc w:val="both"/>
        <w:rPr/>
      </w:pPr>
      <w:r>
        <w:rPr/>
      </w:r>
    </w:p>
    <w:p>
      <w:pPr>
        <w:pStyle w:val="Normal"/>
        <w:widowControl/>
        <w:ind w:firstLine="720" w:start="720" w:end="0"/>
        <w:rPr/>
      </w:pPr>
      <w:r>
        <w:rPr/>
        <w:t>(b)  no authorization, approval, consent or order of, or registration or filing with, any court or other governmental body having jurisdiction over the Guarantor is required on the part of the Guarantor for the execution and delivery of this Guaranty or the performance of its obligations hereunder or under the Fiscal Agency Agreement; and</w:t>
      </w:r>
    </w:p>
    <w:p>
      <w:pPr>
        <w:pStyle w:val="Normal"/>
        <w:widowControl/>
        <w:spacing w:lineRule="atLeast" w:line="240"/>
        <w:ind w:firstLine="720" w:end="0"/>
        <w:jc w:val="both"/>
        <w:rPr/>
      </w:pPr>
      <w:r>
        <w:rPr/>
      </w:r>
    </w:p>
    <w:p>
      <w:pPr>
        <w:pStyle w:val="Normal"/>
        <w:widowControl/>
        <w:ind w:firstLine="720" w:start="720" w:end="0"/>
        <w:rPr/>
      </w:pPr>
      <w:r>
        <w:rPr/>
        <w:t>(c)  each of this Guaranty and the Fiscal Agency Agreement, when executed and delivered, will constitute valid and legally binding agreements of the Guarantor, enforceable against the Guarantor in accordance with their respective terms, except as the enforceability of this Guaranty and obligations of the Guarantor under the Fiscal Agency Agreement may be limited by the effect of any applicable bankruptcy, insolvency, reorganization, moratorium or similar laws affecting creditors' rights generally and general principles of equity.</w:t>
      </w:r>
    </w:p>
    <w:p>
      <w:pPr>
        <w:pStyle w:val="Normal"/>
        <w:widowControl/>
        <w:rPr/>
      </w:pPr>
      <w:r>
        <w:rPr/>
      </w:r>
    </w:p>
    <w:p>
      <w:pPr>
        <w:pStyle w:val="Normal"/>
        <w:widowControl/>
        <w:rPr/>
      </w:pPr>
      <w:r>
        <w:rPr/>
        <w:tab/>
        <w:tab/>
        <w:t xml:space="preserve">6.  </w:t>
      </w:r>
      <w:r>
        <w:rPr>
          <w:u w:val="single"/>
        </w:rPr>
        <w:t>AMENDMENT OF GUARANTY</w:t>
      </w:r>
      <w:r>
        <w:rPr/>
        <w:t>.  No term or provision of this Guaranty shall be amended, modified, altered, waived or supplemented except in a writing signed by the Guarantor and each ENA Claim Holder.</w:t>
      </w:r>
    </w:p>
    <w:p>
      <w:pPr>
        <w:pStyle w:val="Normal"/>
        <w:widowControl/>
        <w:rPr/>
      </w:pPr>
      <w:r>
        <w:rPr/>
      </w:r>
    </w:p>
    <w:p>
      <w:pPr>
        <w:pStyle w:val="Normal"/>
        <w:widowControl/>
        <w:rPr/>
      </w:pPr>
      <w:r>
        <w:rPr/>
        <w:tab/>
        <w:tab/>
        <w:t xml:space="preserve">7.  </w:t>
      </w:r>
      <w:r>
        <w:rPr>
          <w:u w:val="single"/>
        </w:rPr>
        <w:t>WAIVERS</w:t>
      </w:r>
      <w:r>
        <w:rPr/>
        <w:t>.  The Guarantor hereby waives (a) notice of acceptance of this Guaranty; (b) presentment and demand concerning the liabilities of the Guarantor, except as expressly hereinabove set forth; and (c) any right to require that any action or proceeding be brought against ENA or any other person or entity, or except as expressly hereinabove set forth, to require that any ENA Claim Holder or the Fiscal Agent seek enforcement of any performance against ENA or any other person or entity, prior to any action against the Guarantor under the terms hereof.</w:t>
      </w:r>
    </w:p>
    <w:p>
      <w:pPr>
        <w:pStyle w:val="Normal"/>
        <w:widowControl/>
        <w:rPr/>
      </w:pPr>
      <w:r>
        <w:rPr/>
      </w:r>
    </w:p>
    <w:p>
      <w:pPr>
        <w:pStyle w:val="Normal"/>
        <w:widowControl/>
        <w:rPr/>
      </w:pPr>
      <w:r>
        <w:rPr/>
        <w:tab/>
        <w:tab/>
        <w:t>Except as to applicable statutes of limitation, no delay of any ENA Claim Holder in the exercise of, or failure to exercise, any rights hereunder shall operate as a waiver of such rights, a waiver of any other rights or a release of the Guarantor from any obligations hereunder, nor shall any single or partial exercise of any right, power or privilege hereunder preclude any subsequent or further exercise thereof or the exercise of any other right, power or privilege.</w:t>
      </w:r>
    </w:p>
    <w:p>
      <w:pPr>
        <w:pStyle w:val="Normal"/>
        <w:widowControl/>
        <w:rPr/>
      </w:pPr>
      <w:r>
        <w:rPr/>
      </w:r>
    </w:p>
    <w:p>
      <w:pPr>
        <w:pStyle w:val="Normal"/>
        <w:widowControl/>
        <w:rPr/>
      </w:pPr>
      <w:r>
        <w:rPr/>
        <w:tab/>
        <w:tab/>
        <w:t>The Guarantor hereby waives, except as to applicable statutes of limitation with respect to this Guaranty, (i) promptness, diligence, presentment, demand of payment, protest, order and all notices (whether of acceptance of this Guaranty by any ENA Claim Holder, entering into any Transaction, non-payment by ENA, dishonor, protest or otherwise) and (ii) any requirement that any ENA Claim Holder exhaust any right or take any action against ENA or any other person or entity or against any collateral security before proceeding to exercise any right or remedy against the Guarantor.</w:t>
      </w:r>
    </w:p>
    <w:p>
      <w:pPr>
        <w:pStyle w:val="Normal"/>
        <w:widowControl/>
        <w:rPr/>
      </w:pPr>
      <w:r>
        <w:rPr/>
      </w:r>
    </w:p>
    <w:p>
      <w:pPr>
        <w:pStyle w:val="Normal"/>
        <w:widowControl/>
        <w:rPr/>
      </w:pPr>
      <w:r>
        <w:rPr/>
        <w:tab/>
        <w:tab/>
        <w:t>Until the ENA Claims are paid in full, the Guarantor hereby agrees not to exercise any right or remedy against ENA arising (whether by subrogation, exoneration, contribution or otherwise) by reason of such the Guarantor's execution, delivery and performance of this Guaranty.</w:t>
      </w:r>
    </w:p>
    <w:p>
      <w:pPr>
        <w:pStyle w:val="Normal"/>
        <w:widowControl/>
        <w:rPr/>
      </w:pPr>
      <w:r>
        <w:rPr/>
      </w:r>
    </w:p>
    <w:p>
      <w:pPr>
        <w:pStyle w:val="Normal"/>
        <w:widowControl/>
        <w:rPr/>
      </w:pPr>
      <w:r>
        <w:rPr/>
        <w:tab/>
        <w:tab/>
        <w:t>The Guarantor consents to the renewal, compromise, extension, acceleration or other changes in the time of payment of or other changes in the terms of the ENA Claims, or any part thereof or any changes or modifications to the terms of the Contract.</w:t>
      </w:r>
    </w:p>
    <w:p>
      <w:pPr>
        <w:pStyle w:val="Normal"/>
        <w:widowControl/>
        <w:rPr/>
      </w:pPr>
      <w:r>
        <w:rPr/>
      </w:r>
    </w:p>
    <w:p>
      <w:pPr>
        <w:pStyle w:val="Normal"/>
        <w:widowControl/>
        <w:rPr/>
      </w:pPr>
      <w:r>
        <w:rPr/>
        <w:tab/>
        <w:tab/>
        <w:t xml:space="preserve">8.  </w:t>
      </w:r>
      <w:r>
        <w:rPr>
          <w:u w:val="single"/>
        </w:rPr>
        <w:t>NOTICES</w:t>
      </w:r>
      <w:r>
        <w:rPr/>
        <w:t>.  Any payment demand, notice, request, instruction, correspondence or other document to be given hereunder by any party to another shall be given in accordance with the terms of the Fiscal Agency Agreement.</w:t>
      </w:r>
    </w:p>
    <w:p>
      <w:pPr>
        <w:pStyle w:val="Normal"/>
        <w:widowControl/>
        <w:rPr/>
      </w:pPr>
      <w:r>
        <w:rPr/>
      </w:r>
    </w:p>
    <w:p>
      <w:pPr>
        <w:pStyle w:val="Normal"/>
        <w:widowControl/>
        <w:rPr/>
      </w:pPr>
      <w:r>
        <w:rPr/>
        <w:tab/>
        <w:tab/>
        <w:t xml:space="preserve">9.  </w:t>
      </w:r>
      <w:r>
        <w:rPr>
          <w:u w:val="single"/>
        </w:rPr>
        <w:t>JURISDICTION; GOVERNING LAW; SERVICE OF PROCESS</w:t>
      </w:r>
      <w:r>
        <w:rPr/>
        <w:t xml:space="preserve">.  THE RIGHTS AND OBLIGATIONS OF EACH OF THE PARTIES UNDER THIS AGREEMENT SHALL, PURSUANT TO NEW YORK GENERAL OBLIGATIONS LAW SECTION 5-1401, BE GOVERNED BY AND CONSTRUED IN ACCORDANCE WITH THE LAWS OF THE STATE OF NEW YORK.  Any process or other legal summons in connection with any action or proceeding against the Guarantor relating in any way to this Guaranty may be served by mailing a copy thereof by certified mail, or any substantially similar form of mail, addressed to the Guarantor as provided for notices hereunder or in any other manner permitted by law; </w:t>
      </w:r>
      <w:r>
        <w:rPr>
          <w:i/>
          <w:iCs/>
        </w:rPr>
        <w:t>provided</w:t>
      </w:r>
      <w:r>
        <w:rPr/>
        <w:t xml:space="preserve"> that any such process or legal summons must be served in accordance with the rules applicable to the court or jurisdiction for which it is being served.</w:t>
      </w:r>
    </w:p>
    <w:p>
      <w:pPr>
        <w:pStyle w:val="Normal"/>
        <w:widowControl/>
        <w:rPr/>
      </w:pPr>
      <w:r>
        <w:rPr/>
      </w:r>
    </w:p>
    <w:p>
      <w:pPr>
        <w:pStyle w:val="Normal"/>
        <w:widowControl/>
        <w:rPr/>
      </w:pPr>
      <w:r>
        <w:rPr/>
        <w:tab/>
        <w:tab/>
        <w:t xml:space="preserve">10.  </w:t>
      </w:r>
      <w:r>
        <w:rPr>
          <w:u w:val="single"/>
        </w:rPr>
        <w:t>MISCELLANEOUS</w:t>
      </w:r>
      <w:r>
        <w:rPr/>
        <w:t>.  This Guaranty shall be binding upon the Guarantor and its successors and permitted assigns and shall inure to the benefit of and be enforceable by the Counterparty and its successors and assigns (including, without limitation, the other ENA Claim Holders).  This Guaranty and the Fiscal Agency Agreement embody the entire agreement and understanding between the Guarantor and the ENA Claim Holders, and supersede all prior agreements and understandings, relating to the subject matter hereof.  The headings in this Guaranty are for purposes of reference only, and shall not affect the meaning hereof.</w:t>
      </w:r>
    </w:p>
    <w:p>
      <w:pPr>
        <w:pStyle w:val="Normal"/>
        <w:widowControl/>
        <w:rPr/>
      </w:pPr>
      <w:r>
        <w:rPr/>
      </w:r>
    </w:p>
    <w:p>
      <w:pPr>
        <w:pStyle w:val="Normal"/>
        <w:widowControl/>
        <w:rPr/>
      </w:pPr>
      <w:r>
        <w:rPr/>
        <w:tab/>
        <w:tab/>
        <w:t xml:space="preserve">11.  </w:t>
      </w:r>
      <w:r>
        <w:rPr>
          <w:u w:val="single"/>
        </w:rPr>
        <w:t>REINSTATEMENT</w:t>
      </w:r>
      <w:r>
        <w:rPr/>
        <w:t>.  The obligations of the Guarantor under this Guaranty shall be automatically reinstated if and to the extent that for any reason any payment by or on behalf of ENA in respect of the ENA Claims is rescinded or must be otherwise restored by any ENA Claim Holder as a result of any bankruptcy, reorganization, dissolution, liquidation, insolvency, fraudulent transfer or conveyance or other similar proceedings, and the Guarantor agrees that it will indemnify each ENA Claim Holder on demand for all reasonable costs and expenses (including fees of counsel) incurred by it in connection with such rescission or restoration, including any such costs and expenses incurred in defending against any claim alleging that such payment constituted a preference, fraudulent transfer or similar payment under any bankruptcy, insolvency or similar law.</w:t>
      </w:r>
    </w:p>
    <w:p>
      <w:pPr>
        <w:pStyle w:val="Normal"/>
        <w:widowControl/>
        <w:rPr/>
      </w:pPr>
      <w:r>
        <w:rPr/>
      </w:r>
    </w:p>
    <w:p>
      <w:pPr>
        <w:pStyle w:val="Normal"/>
        <w:widowControl/>
        <w:rPr/>
      </w:pPr>
      <w:r>
        <w:rPr/>
        <w:tab/>
        <w:tab/>
        <w:t xml:space="preserve">12.  </w:t>
      </w:r>
      <w:r>
        <w:rPr>
          <w:u w:val="single"/>
        </w:rPr>
        <w:t>SETOFFS AND COUNTERCLAIMS</w:t>
      </w:r>
      <w:r>
        <w:rPr/>
        <w:t>.  Without limiting the Guarantor's own defenses and rights hereunder, the Guarantor reserves to itself all rights, setoffs, counterclaims and other defenses to which ENA is or may be entitled that are attributable solely to any action or omission of the Counterparty and arising from or out of the Contract, except for defenses arising out of the bankruptcy, insolvency, dissolution or liquidation of ENA.</w:t>
      </w:r>
    </w:p>
    <w:p>
      <w:pPr>
        <w:pStyle w:val="Normal"/>
        <w:widowControl/>
        <w:rPr/>
      </w:pPr>
      <w:r>
        <w:rPr/>
      </w:r>
    </w:p>
    <w:p>
      <w:pPr>
        <w:pStyle w:val="Normal"/>
        <w:widowControl/>
        <w:jc w:val="center"/>
        <w:rPr>
          <w:b/>
          <w:bCs/>
          <w:u w:val="double"/>
        </w:rPr>
      </w:pPr>
      <w:r>
        <w:rPr>
          <w:b/>
          <w:bCs/>
          <w:u w:val="double"/>
        </w:rPr>
        <w:t>[remainder of page intentionally blank]</w:t>
      </w:r>
    </w:p>
    <w:p>
      <w:pPr>
        <w:pStyle w:val="Normal"/>
        <w:widowControl/>
        <w:rPr/>
      </w:pPr>
      <w:r>
        <w:rPr/>
      </w:r>
    </w:p>
    <w:p>
      <w:pPr>
        <w:pStyle w:val="Normal"/>
        <w:widowControl/>
        <w:rPr/>
      </w:pPr>
      <w:r>
        <w:rPr/>
      </w:r>
      <w:r>
        <w:br w:type="page"/>
      </w:r>
    </w:p>
    <w:p>
      <w:pPr>
        <w:pStyle w:val="Normal"/>
        <w:widowControl/>
        <w:rPr/>
      </w:pPr>
      <w:r>
        <w:rPr/>
      </w:r>
    </w:p>
    <w:p>
      <w:pPr>
        <w:pStyle w:val="Normal"/>
        <w:widowControl/>
        <w:rPr/>
      </w:pPr>
      <w:r>
        <w:rPr/>
        <w:tab/>
        <w:tab/>
      </w:r>
      <w:r>
        <w:rPr>
          <w:b/>
          <w:bCs/>
        </w:rPr>
        <w:t>IN WITNESS WHEREOF</w:t>
      </w:r>
      <w:r>
        <w:rPr/>
        <w:t xml:space="preserve">, the Guarantor has executed this Guaranty on </w:t>
      </w:r>
      <w:r>
        <w:rPr>
          <w:strike/>
        </w:rPr>
        <w:t>August __</w:t>
      </w:r>
      <w:r>
        <w:rPr>
          <w:b/>
          <w:bCs/>
          <w:u w:val="double"/>
        </w:rPr>
        <w:t>August 25</w:t>
      </w:r>
      <w:r>
        <w:rPr/>
        <w:t>, 2000, but it is effective as of the date first above written.</w:t>
      </w:r>
    </w:p>
    <w:p>
      <w:pPr>
        <w:pStyle w:val="Normal"/>
        <w:widowControl/>
        <w:spacing w:lineRule="atLeast" w:line="240"/>
        <w:jc w:val="both"/>
        <w:rPr/>
      </w:pPr>
      <w:r>
        <w:rPr/>
      </w:r>
    </w:p>
    <w:tbl>
      <w:tblPr>
        <w:tblW w:w="5760" w:type="dxa"/>
        <w:jc w:val="start"/>
        <w:tblInd w:w="4878" w:type="dxa"/>
        <w:tblLayout w:type="fixed"/>
        <w:tblCellMar>
          <w:top w:w="0" w:type="dxa"/>
          <w:start w:w="108" w:type="dxa"/>
          <w:bottom w:w="0" w:type="dxa"/>
          <w:end w:w="108" w:type="dxa"/>
        </w:tblCellMar>
      </w:tblPr>
      <w:tblGrid>
        <w:gridCol w:w="5760"/>
      </w:tblGrid>
      <w:tr>
        <w:trPr/>
        <w:tc>
          <w:tcPr>
            <w:tcW w:w="5760" w:type="dxa"/>
            <w:tcBorders/>
          </w:tcPr>
          <w:p>
            <w:pPr>
              <w:pStyle w:val="Normal"/>
              <w:widowControl/>
              <w:tabs>
                <w:tab w:val="clear" w:pos="720"/>
                <w:tab w:val="left" w:pos="3312" w:leader="none"/>
              </w:tabs>
              <w:spacing w:lineRule="atLeast" w:line="240"/>
              <w:jc w:val="both"/>
              <w:rPr>
                <w:b/>
                <w:bCs/>
              </w:rPr>
            </w:pPr>
            <w:r>
              <w:rPr>
                <w:b/>
                <w:bCs/>
              </w:rPr>
              <w:t>ENRON CORP.</w:t>
            </w:r>
          </w:p>
          <w:p>
            <w:pPr>
              <w:pStyle w:val="Normal"/>
              <w:widowControl/>
              <w:tabs>
                <w:tab w:val="clear" w:pos="720"/>
                <w:tab w:val="left" w:pos="3312" w:leader="none"/>
              </w:tabs>
              <w:spacing w:lineRule="atLeast" w:line="240"/>
              <w:jc w:val="both"/>
              <w:rPr/>
            </w:pPr>
            <w:r>
              <w:rPr/>
            </w:r>
          </w:p>
          <w:p>
            <w:pPr>
              <w:pStyle w:val="Normal"/>
              <w:widowControl/>
              <w:tabs>
                <w:tab w:val="clear" w:pos="720"/>
                <w:tab w:val="left" w:pos="3312" w:leader="none"/>
              </w:tabs>
              <w:spacing w:lineRule="atLeast" w:line="240"/>
              <w:jc w:val="both"/>
              <w:rPr/>
            </w:pPr>
            <w:r>
              <w:rPr/>
            </w:r>
          </w:p>
          <w:p>
            <w:pPr>
              <w:pStyle w:val="Normal"/>
              <w:widowControl/>
              <w:tabs>
                <w:tab w:val="clear" w:pos="720"/>
                <w:tab w:val="left" w:pos="3312" w:leader="none"/>
              </w:tabs>
              <w:spacing w:lineRule="atLeast" w:line="240"/>
              <w:jc w:val="both"/>
              <w:rPr/>
            </w:pPr>
            <w:r>
              <w:rPr/>
            </w:r>
          </w:p>
          <w:p>
            <w:pPr>
              <w:pStyle w:val="Normal"/>
              <w:widowControl/>
              <w:tabs>
                <w:tab w:val="left" w:pos="720" w:leader="none"/>
                <w:tab w:val="left" w:pos="3312" w:leader="none"/>
                <w:tab w:val="left" w:pos="4320" w:leader="none"/>
              </w:tabs>
              <w:spacing w:lineRule="atLeast" w:line="240"/>
              <w:jc w:val="both"/>
              <w:rPr>
                <w:u w:val="single"/>
              </w:rPr>
            </w:pPr>
            <w:r>
              <w:rPr/>
              <w:t>By:  ____________________________</w:t>
            </w:r>
          </w:p>
          <w:p>
            <w:pPr>
              <w:pStyle w:val="Normal"/>
              <w:widowControl/>
              <w:tabs>
                <w:tab w:val="left" w:pos="720" w:leader="none"/>
                <w:tab w:val="left" w:pos="3312" w:leader="none"/>
                <w:tab w:val="left" w:pos="4320" w:leader="none"/>
              </w:tabs>
              <w:spacing w:lineRule="atLeast" w:line="240"/>
              <w:ind w:start="432" w:end="0"/>
              <w:jc w:val="both"/>
              <w:rPr>
                <w:u w:val="single"/>
              </w:rPr>
            </w:pPr>
            <w:r>
              <w:rPr/>
              <w:t xml:space="preserve">Name:  </w:t>
            </w:r>
          </w:p>
          <w:p>
            <w:pPr>
              <w:pStyle w:val="Normal"/>
              <w:widowControl/>
              <w:tabs>
                <w:tab w:val="left" w:pos="720" w:leader="none"/>
                <w:tab w:val="left" w:pos="3312" w:leader="none"/>
                <w:tab w:val="left" w:pos="4320" w:leader="none"/>
              </w:tabs>
              <w:spacing w:lineRule="atLeast" w:line="240"/>
              <w:ind w:start="432" w:end="0"/>
              <w:jc w:val="both"/>
              <w:rPr>
                <w:u w:val="single"/>
              </w:rPr>
            </w:pPr>
            <w:r>
              <w:rPr/>
              <w:t xml:space="preserve">Title:  </w:t>
            </w:r>
          </w:p>
          <w:p>
            <w:pPr>
              <w:pStyle w:val="Normal"/>
              <w:widowControl/>
              <w:tabs>
                <w:tab w:val="left" w:pos="720" w:leader="none"/>
                <w:tab w:val="left" w:pos="1440" w:leader="none"/>
                <w:tab w:val="left" w:pos="2160" w:leader="none"/>
                <w:tab w:val="left" w:pos="2880" w:leader="none"/>
                <w:tab w:val="left" w:pos="3312" w:leader="none"/>
                <w:tab w:val="left" w:pos="3600" w:leader="none"/>
                <w:tab w:val="left" w:pos="4320" w:leader="none"/>
              </w:tabs>
              <w:spacing w:lineRule="atLeast" w:line="240"/>
              <w:jc w:val="both"/>
              <w:rPr>
                <w:u w:val="single"/>
              </w:rPr>
            </w:pPr>
            <w:r>
              <w:rPr>
                <w:u w:val="single"/>
              </w:rPr>
            </w:r>
          </w:p>
        </w:tc>
      </w:tr>
      <w:tr>
        <w:trPr/>
        <w:tc>
          <w:tcPr>
            <w:tcW w:w="5760" w:type="dxa"/>
            <w:tcBorders/>
          </w:tcPr>
          <w:p>
            <w:pPr>
              <w:pStyle w:val="Normal"/>
              <w:widowControl/>
              <w:tabs>
                <w:tab w:val="clear" w:pos="720"/>
                <w:tab w:val="left" w:pos="3312" w:leader="none"/>
              </w:tabs>
              <w:snapToGrid w:val="false"/>
              <w:spacing w:lineRule="atLeast" w:line="240"/>
              <w:jc w:val="both"/>
              <w:rPr>
                <w:b/>
                <w:bCs/>
              </w:rPr>
            </w:pPr>
            <w:r>
              <w:rPr>
                <w:b/>
                <w:bCs/>
              </w:rPr>
            </w:r>
          </w:p>
        </w:tc>
      </w:tr>
    </w:tbl>
    <w:p>
      <w:pPr>
        <w:pStyle w:val="Normal"/>
        <w:widowControl/>
        <w:rPr/>
      </w:pPr>
      <w:r>
        <w:rPr/>
      </w:r>
      <w:r>
        <w:br w:type="page"/>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F:\DOCS\NY3\JFALZON\AGRMNT\4BCY103!.DOC</w:t>
      </w:r>
    </w:p>
    <w:p>
      <w:pPr>
        <w:pStyle w:val="Normal"/>
        <w:widowControl/>
        <w:rPr/>
      </w:pPr>
      <w:r>
        <w:rPr/>
        <w:t>and revised document: F:\DOCS\NY3\JFALZON\AGRMNT\4BCY104!.DOC</w:t>
      </w:r>
    </w:p>
    <w:p>
      <w:pPr>
        <w:pStyle w:val="Normal"/>
        <w:widowControl/>
        <w:rPr/>
      </w:pPr>
      <w:r>
        <w:rPr/>
      </w:r>
    </w:p>
    <w:p>
      <w:pPr>
        <w:pStyle w:val="Normal"/>
        <w:widowControl/>
        <w:rPr/>
      </w:pPr>
      <w:r>
        <w:rPr/>
        <w:t>CompareRite found   10 change(s) in the text</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EngravrsRoman BT">
    <w:charset w:val="01"/>
    <w:family w:val="roman"/>
    <w:pitch w:val="default"/>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24"/>
        <w:szCs w:val="24"/>
      </w:rPr>
    </w:pPr>
    <w:r>
      <w:rPr>
        <w:sz w:val="24"/>
        <w:szCs w:val="24"/>
      </w:rPr>
    </w:r>
  </w:p>
  <w:p>
    <w:pPr>
      <w:pStyle w:val="Footer"/>
      <w:widowControl/>
      <w:spacing w:lineRule="exact" w:line="200"/>
      <w:rPr/>
    </w:pPr>
    <w:r>
      <w:rPr>
        <w:sz w:val="24"/>
        <w:szCs w:val="24"/>
      </w:rPr>
      <w:tab/>
    </w:r>
    <w:r>
      <w:rPr>
        <w:b/>
        <w:bCs/>
      </w:rPr>
      <w:t>E</w:t>
    </w:r>
    <w:r>
      <w:rPr>
        <w:rStyle w:val="PageNumber"/>
        <w:b/>
        <w:bCs/>
        <w:smallCaps/>
      </w:rPr>
      <w:t>nron (Delta) Guaranty</w:t>
    </w:r>
  </w:p>
  <w:p>
    <w:pPr>
      <w:pStyle w:val="Footer"/>
      <w:widowControl/>
      <w:spacing w:lineRule="exact" w:line="200"/>
      <w:rPr/>
    </w:pPr>
    <w:r>
      <w:rPr>
        <w:rStyle w:val="zzmpTrailerItem"/>
      </w:rPr>
      <w:t>NY3:#7248457v4</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24"/>
        <w:szCs w:val="24"/>
      </w:rPr>
    </w:pPr>
    <w:r>
      <w:rPr>
        <w:sz w:val="24"/>
        <w:szCs w:val="24"/>
      </w:rPr>
    </w:r>
  </w:p>
  <w:p>
    <w:pPr>
      <w:pStyle w:val="Footer"/>
      <w:widowControl/>
      <w:spacing w:lineRule="exact" w:line="200"/>
      <w:rPr/>
    </w:pPr>
    <w:r>
      <w:rPr>
        <w:sz w:val="24"/>
        <w:szCs w:val="24"/>
      </w:rPr>
      <w:tab/>
    </w:r>
    <w:r>
      <w:rPr>
        <w:b/>
        <w:bCs/>
      </w:rPr>
      <w:t>E</w:t>
    </w:r>
    <w:r>
      <w:rPr>
        <w:rStyle w:val="PageNumber"/>
        <w:rFonts w:eastAsia="Times New Roman Bold" w:cs="Times New Roman Bold" w:ascii="Times New Roman Bold" w:hAnsi="Times New Roman Bold"/>
        <w:b/>
        <w:bCs/>
        <w:smallCaps/>
      </w:rPr>
      <w:t>nron (Delta) Guaranty</w:t>
    </w:r>
  </w:p>
  <w:p>
    <w:pPr>
      <w:pStyle w:val="Footer"/>
      <w:widowControl/>
      <w:spacing w:lineRule="exact" w:line="200"/>
      <w:rPr/>
    </w:pPr>
    <w:r>
      <w:rPr>
        <w:rStyle w:val="zzmpTrailerItem"/>
      </w:rPr>
      <w:t>NY3:#7248457v4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zzmpTrailerItem">
    <w:name w:val="zzmpTrailerItem"/>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szCs w:val="20"/>
    </w:rPr>
  </w:style>
  <w:style w:type="paragraph" w:styleId="BodyText2">
    <w:name w:val="Body Text 2"/>
    <w:basedOn w:val="BodyText"/>
    <w:next w:val="BodyText"/>
    <w:qForma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eastAsia="EngravrsRoman BT" w:cs="EngravrsRoman BT"/>
      <w:b/>
      <w:bCs/>
      <w:spacing w:val="10"/>
      <w:sz w:val="15"/>
      <w:szCs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szCs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bCs/>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bCs/>
      <w:caps/>
    </w:rPr>
  </w:style>
  <w:style w:type="paragraph" w:styleId="Heading1Para">
    <w:name w:val="Heading1Para"/>
    <w:basedOn w:val="BodyText"/>
    <w:next w:val="BodyText"/>
    <w:qFormat/>
    <w:pPr>
      <w:spacing w:lineRule="auto" w:line="240" w:before="0" w:after="240"/>
      <w:ind w:hanging="0" w:start="0" w:end="0"/>
      <w:jc w:val="center"/>
    </w:pPr>
    <w:rPr/>
  </w:style>
  <w:style w:type="paragraph" w:styleId="Heading2Para">
    <w:name w:val="Heading2Para"/>
    <w:basedOn w:val="BodyText"/>
    <w:next w:val="BodyText"/>
    <w:qFormat/>
    <w:pPr>
      <w:spacing w:lineRule="auto" w:line="240" w:before="0" w:after="240"/>
      <w:ind w:hanging="0" w:start="0" w:end="0"/>
    </w:pPr>
    <w:rPr/>
  </w:style>
  <w:style w:type="paragraph" w:styleId="Heading3Para">
    <w:name w:val="Heading3Para"/>
    <w:basedOn w:val="BodyText"/>
    <w:next w:val="BodyText"/>
    <w:qFormat/>
    <w:pPr>
      <w:spacing w:lineRule="auto" w:line="240" w:before="0" w:after="240"/>
    </w:pPr>
    <w:rPr/>
  </w:style>
  <w:style w:type="paragraph" w:styleId="Heading4Para">
    <w:name w:val="Heading4Para"/>
    <w:basedOn w:val="BodyText"/>
    <w:next w:val="BodyText"/>
    <w:qFormat/>
    <w:pPr>
      <w:spacing w:lineRule="auto" w:line="240" w:before="0" w:after="240"/>
      <w:ind w:firstLine="2160" w:start="0" w:end="0"/>
    </w:pPr>
    <w:rPr/>
  </w:style>
  <w:style w:type="paragraph" w:styleId="Heading5Para">
    <w:name w:val="Heading5Para"/>
    <w:basedOn w:val="BodyText"/>
    <w:next w:val="BodyText"/>
    <w:qFormat/>
    <w:pPr>
      <w:spacing w:lineRule="auto" w:line="240" w:before="0" w:after="240"/>
      <w:ind w:firstLine="2880" w:start="0" w:end="0"/>
    </w:pPr>
    <w:rPr/>
  </w:style>
  <w:style w:type="paragraph" w:styleId="Heading6Para">
    <w:name w:val="Heading6Para"/>
    <w:basedOn w:val="BodyText"/>
    <w:next w:val="BodyText"/>
    <w:qFormat/>
    <w:pPr>
      <w:spacing w:lineRule="auto" w:line="240" w:before="0" w:after="240"/>
      <w:ind w:firstLine="3600" w:start="0" w:end="0"/>
    </w:pPr>
    <w:rPr/>
  </w:style>
  <w:style w:type="paragraph" w:styleId="Heading7Para">
    <w:name w:val="Heading7Para"/>
    <w:basedOn w:val="BodyText"/>
    <w:next w:val="BodyText"/>
    <w:qFormat/>
    <w:pPr>
      <w:spacing w:lineRule="auto" w:line="240" w:before="0" w:after="240"/>
      <w:ind w:firstLine="4320" w:start="0" w:end="0"/>
    </w:pPr>
    <w:rPr/>
  </w:style>
  <w:style w:type="paragraph" w:styleId="Heading8Para">
    <w:name w:val="Heading8Para"/>
    <w:basedOn w:val="BodyText"/>
    <w:next w:val="BodyText"/>
    <w:qFormat/>
    <w:pPr>
      <w:spacing w:lineRule="auto" w:line="240" w:before="0" w:after="240"/>
      <w:ind w:firstLine="5040" w:start="0" w:end="0"/>
    </w:pPr>
    <w:rPr/>
  </w:style>
  <w:style w:type="paragraph" w:styleId="Heading9Para">
    <w:name w:val="Heading9Para"/>
    <w:basedOn w:val="BodyText"/>
    <w:next w:val="BodyText"/>
    <w:qFormat/>
    <w:pPr>
      <w:spacing w:lineRule="auto" w:line="240" w:before="0" w:after="240"/>
      <w:ind w:firstLine="5760" w:start="0" w:end="0"/>
    </w:pPr>
    <w:rPr/>
  </w:style>
  <w:style w:type="paragraph" w:styleId="SDP">
    <w:name w:val="SDP"/>
    <w:basedOn w:val="Normal"/>
    <w:next w:val="Normal"/>
    <w:qFormat/>
    <w:pPr>
      <w:spacing w:before="240" w:after="0"/>
    </w:pPr>
    <w:rPr>
      <w:b/>
      <w:bCs/>
      <w:caps/>
    </w:rPr>
  </w:style>
  <w:style w:type="paragraph" w:styleId="Quote">
    <w:name w:val="Quote"/>
    <w:basedOn w:val="Normal"/>
    <w:next w:val="BodyTextContinued"/>
    <w:qFormat/>
    <w:pPr>
      <w:spacing w:lineRule="exact" w:line="240" w:before="240" w:after="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2000-08-23T04:44:00Z</dcterms:created>
  <dc:creator>PBarrett</dc:creator>
  <dc:description/>
  <dc:language>en-CA</dc:language>
  <cp:lastModifiedBy>richard francis cosentino</cp:lastModifiedBy>
  <cp:lastPrinted>2000-08-23T03:13:00Z</cp:lastPrinted>
  <dcterms:modified xsi:type="dcterms:W3CDTF">2000-08-23T04:44:00Z</dcterms:modified>
  <cp:revision>2</cp:revision>
  <dc:subject/>
  <dc:title>Word 8.0 Generic Normal Template, rev. 4/1/97, The Legal MacPac</dc:title>
</cp:coreProperties>
</file>