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920" w:leader="none"/>
        </w:tabs>
        <w:rPr>
          <w:rFonts w:ascii="CG Times (WN)" w:hAnsi="CG Times (WN)" w:cs="CG Times (WN)"/>
          <w:sz w:val="18"/>
        </w:rPr>
      </w:pPr>
      <w:r>
        <w:rPr/>
        <w:drawing>
          <wp:inline distT="0" distB="0" distL="0" distR="0">
            <wp:extent cx="2609215" cy="5695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4" t="-63" r="-14" b="-63"/>
                    <a:stretch>
                      <a:fillRect/>
                    </a:stretch>
                  </pic:blipFill>
                  <pic:spPr bwMode="auto">
                    <a:xfrm>
                      <a:off x="0" y="0"/>
                      <a:ext cx="2609215" cy="569595"/>
                    </a:xfrm>
                    <a:prstGeom prst="rect">
                      <a:avLst/>
                    </a:prstGeom>
                    <a:noFill/>
                  </pic:spPr>
                </pic:pic>
              </a:graphicData>
            </a:graphic>
          </wp:inline>
        </w:drawing>
      </w:r>
    </w:p>
    <w:p>
      <w:pPr>
        <w:pStyle w:val="Normal"/>
        <w:tabs>
          <w:tab w:val="clear" w:pos="720"/>
          <w:tab w:val="left" w:pos="3060" w:leader="none"/>
          <w:tab w:val="left" w:pos="7920" w:leader="none"/>
        </w:tabs>
        <w:rPr>
          <w:rFonts w:ascii="CG Times (WN)" w:hAnsi="CG Times (WN)" w:cs="CG Times (WN)"/>
          <w:sz w:val="18"/>
        </w:rPr>
      </w:pPr>
      <w:r>
        <w:rPr>
          <w:rFonts w:cs="CG Times (WN)" w:ascii="CG Times (WN)" w:hAnsi="CG Times (WN)"/>
          <w:sz w:val="18"/>
        </w:rPr>
      </w:r>
    </w:p>
    <w:p>
      <w:pPr>
        <w:pStyle w:val="Normal"/>
        <w:tabs>
          <w:tab w:val="clear" w:pos="720"/>
          <w:tab w:val="left" w:pos="3060" w:leader="none"/>
          <w:tab w:val="left" w:pos="7920" w:leader="none"/>
        </w:tabs>
        <w:rPr>
          <w:rFonts w:ascii="CG Times (WN)" w:hAnsi="CG Times (WN)" w:cs="CG Times (WN)"/>
          <w:sz w:val="18"/>
        </w:rPr>
      </w:pPr>
      <w:r>
        <w:rPr>
          <w:rFonts w:cs="CG Times (WN)" w:ascii="CG Times (WN)" w:hAnsi="CG Times (WN)"/>
          <w:sz w:val="18"/>
        </w:rPr>
      </w:r>
    </w:p>
    <w:p>
      <w:pPr>
        <w:pStyle w:val="Normal"/>
        <w:tabs>
          <w:tab w:val="clear" w:pos="720"/>
          <w:tab w:val="left" w:pos="3240" w:leader="none"/>
          <w:tab w:val="left" w:pos="8460" w:leader="none"/>
        </w:tabs>
        <w:rPr>
          <w:sz w:val="16"/>
        </w:rPr>
      </w:pPr>
      <w:r>
        <w:rPr>
          <w:rFonts w:cs="CG Times (WN)" w:ascii="CG Times (WN)" w:hAnsi="CG Times (WN)"/>
          <w:sz w:val="18"/>
        </w:rPr>
        <w:t>20 North Broadway, Suite 1500</w:t>
        <w:tab/>
        <w:t>Telephone:405/235-3611</w:t>
      </w:r>
    </w:p>
    <w:p>
      <w:pPr>
        <w:pStyle w:val="Normal"/>
        <w:tabs>
          <w:tab w:val="clear" w:pos="720"/>
          <w:tab w:val="left" w:pos="3240" w:leader="none"/>
          <w:tab w:val="left" w:pos="8460" w:leader="none"/>
        </w:tabs>
        <w:rPr>
          <w:rFonts w:ascii="CG Times (WN)" w:hAnsi="CG Times (WN)" w:cs="CG Times (WN)"/>
          <w:sz w:val="18"/>
        </w:rPr>
      </w:pPr>
      <w:r>
        <w:rPr>
          <w:rFonts w:cs="CG Times (WN)" w:ascii="CG Times (WN)" w:hAnsi="CG Times (WN)"/>
          <w:sz w:val="18"/>
        </w:rPr>
        <w:t>Oklahoma City, Oklahoma 73102-8260</w:t>
        <w:tab/>
        <w:t>FAX 405/552-4667</w:t>
      </w:r>
    </w:p>
    <w:p>
      <w:pPr>
        <w:sectPr>
          <w:type w:val="continuous"/>
          <w:pgSz w:w="12240" w:h="15840"/>
          <w:pgMar w:left="1440" w:right="450" w:gutter="0" w:header="0" w:top="864" w:footer="0" w:bottom="1440"/>
          <w:cols w:num="2" w:equalWidth="false" w:sep="false">
            <w:col w:w="4464" w:space="86"/>
            <w:col w:w="5800"/>
          </w:cols>
          <w:formProt w:val="false"/>
          <w:textDirection w:val="lrTb"/>
          <w:docGrid w:type="default" w:linePitch="360" w:charSpace="0"/>
        </w:sectPr>
      </w:pPr>
    </w:p>
    <w:p>
      <w:pPr>
        <w:pStyle w:val="Normal"/>
        <w:tabs>
          <w:tab w:val="clear" w:pos="720"/>
          <w:tab w:val="left" w:pos="4320" w:leader="none"/>
          <w:tab w:val="left" w:pos="7560" w:leader="none"/>
          <w:tab w:val="left" w:pos="8460" w:leader="none"/>
        </w:tabs>
        <w:rPr>
          <w:rFonts w:ascii="CG Times (WN)" w:hAnsi="CG Times (WN)" w:cs="CG Times (WN)"/>
          <w:sz w:val="18"/>
        </w:rPr>
      </w:pPr>
      <w:r>
        <w:rPr>
          <w:rFonts w:cs="CG Times (WN)" w:ascii="CG Times (WN)" w:hAnsi="CG Times (WN)"/>
          <w:sz w:val="18"/>
        </w:rPr>
      </w:r>
    </w:p>
    <w:p>
      <w:pPr>
        <w:pStyle w:val="Normal"/>
        <w:tabs>
          <w:tab w:val="clear" w:pos="720"/>
          <w:tab w:val="left" w:pos="4320" w:leader="none"/>
          <w:tab w:val="left" w:pos="7560" w:leader="none"/>
        </w:tabs>
        <w:rPr>
          <w:rFonts w:ascii="CG Times (WN)" w:hAnsi="CG Times (WN)" w:cs="CG Times (WN)"/>
          <w:sz w:val="18"/>
        </w:rPr>
      </w:pPr>
      <w:r>
        <w:rPr>
          <w:rFonts w:cs="CG Times (WN)" w:ascii="CG Times (WN)" w:hAnsi="CG Times (WN)"/>
          <w:sz w:val="18"/>
        </w:rPr>
      </w:r>
    </w:p>
    <w:p>
      <w:pPr>
        <w:pStyle w:val="Normal"/>
        <w:tabs>
          <w:tab w:val="clear" w:pos="720"/>
          <w:tab w:val="left" w:pos="4320" w:leader="none"/>
          <w:tab w:val="left" w:pos="7560" w:leader="none"/>
        </w:tabs>
        <w:jc w:val="center"/>
        <w:rPr>
          <w:sz w:val="24"/>
        </w:rPr>
      </w:pPr>
      <w:r>
        <w:rPr>
          <w:sz w:val="24"/>
        </w:rPr>
        <w:t>March 22, 2000</w:t>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t>Ms. Ami Chokshi</w:t>
      </w:r>
    </w:p>
    <w:p>
      <w:pPr>
        <w:pStyle w:val="Normal"/>
        <w:tabs>
          <w:tab w:val="clear" w:pos="720"/>
          <w:tab w:val="left" w:pos="4320" w:leader="none"/>
          <w:tab w:val="left" w:pos="7560" w:leader="none"/>
        </w:tabs>
        <w:rPr>
          <w:sz w:val="24"/>
        </w:rPr>
      </w:pPr>
      <w:r>
        <w:rPr>
          <w:sz w:val="24"/>
        </w:rPr>
        <w:t>Enron North America Corp.</w:t>
      </w:r>
    </w:p>
    <w:p>
      <w:pPr>
        <w:pStyle w:val="Normal"/>
        <w:tabs>
          <w:tab w:val="clear" w:pos="720"/>
          <w:tab w:val="left" w:pos="4320" w:leader="none"/>
          <w:tab w:val="left" w:pos="7560" w:leader="none"/>
        </w:tabs>
        <w:rPr>
          <w:sz w:val="24"/>
        </w:rPr>
      </w:pPr>
      <w:r>
        <w:rPr>
          <w:sz w:val="24"/>
        </w:rPr>
        <w:t>1400 Smith Street</w:t>
      </w:r>
    </w:p>
    <w:p>
      <w:pPr>
        <w:pStyle w:val="Normal"/>
        <w:tabs>
          <w:tab w:val="clear" w:pos="720"/>
          <w:tab w:val="left" w:pos="4320" w:leader="none"/>
          <w:tab w:val="left" w:pos="7560" w:leader="none"/>
        </w:tabs>
        <w:rPr>
          <w:sz w:val="24"/>
        </w:rPr>
      </w:pPr>
      <w:r>
        <w:rPr>
          <w:sz w:val="24"/>
        </w:rPr>
        <w:t>Houston, TX  77002-7361</w:t>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t>Re:  April, 2000 Gas Nominations</w:t>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t>Dear Ms. Chokshi:</w:t>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t>Attached please find Devon's gas nominations for the production month of April, 2000.   Please note that these nominations may be subject to some adjustments, particularly for those properties producing gas which is processed.</w:t>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t>It is our understanding that, upon receipt, you will forward Devon's nomination to all Enron scheduling personnel requiring this information.   Thus, with the exception of Nelson Ferries, we are not issuing this nomination to any other individual at Enron.  As outlined in prior correspondence, it is also our understanding that Enron will schedule those volumes nominated by Devon.  Devon will not assume imbalance charges or penalties for volumes improperly nominated or scheduled by Enron.</w:t>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t>Should you have any questions regarding this letter or the attached schedule, please contact Steve Holmes at 405/552-4665 or the undersigned at the phone number above.</w:t>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t>Very truly yours,</w:t>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t>Kathy Pearson</w:t>
      </w:r>
    </w:p>
    <w:p>
      <w:pPr>
        <w:pStyle w:val="Normal"/>
        <w:tabs>
          <w:tab w:val="clear" w:pos="720"/>
          <w:tab w:val="left" w:pos="4320" w:leader="none"/>
          <w:tab w:val="left" w:pos="7560" w:leader="none"/>
        </w:tabs>
        <w:rPr>
          <w:sz w:val="24"/>
        </w:rPr>
      </w:pPr>
      <w:r>
        <w:rPr>
          <w:sz w:val="24"/>
        </w:rPr>
        <w:t>Manager, Volume Control and</w:t>
      </w:r>
    </w:p>
    <w:p>
      <w:pPr>
        <w:pStyle w:val="Normal"/>
        <w:tabs>
          <w:tab w:val="clear" w:pos="720"/>
          <w:tab w:val="left" w:pos="4320" w:leader="none"/>
          <w:tab w:val="left" w:pos="7560" w:leader="none"/>
        </w:tabs>
        <w:rPr>
          <w:sz w:val="24"/>
        </w:rPr>
      </w:pPr>
      <w:r>
        <w:rPr>
          <w:sz w:val="24"/>
        </w:rPr>
        <w:t xml:space="preserve">                </w:t>
      </w:r>
      <w:r>
        <w:rPr>
          <w:sz w:val="24"/>
        </w:rPr>
        <w:t>Marketing Administration</w:t>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t>Attachment</w:t>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t>cc:  Nelson Ferries - Enron North America</w:t>
      </w:r>
    </w:p>
    <w:p>
      <w:pPr>
        <w:pStyle w:val="Normal"/>
        <w:tabs>
          <w:tab w:val="clear" w:pos="720"/>
          <w:tab w:val="left" w:pos="4320" w:leader="none"/>
          <w:tab w:val="left" w:pos="7560" w:leader="none"/>
        </w:tabs>
        <w:rPr>
          <w:sz w:val="24"/>
        </w:rPr>
      </w:pPr>
      <w:r>
        <w:rPr>
          <w:sz w:val="24"/>
        </w:rPr>
        <w:t xml:space="preserve">      </w:t>
      </w:r>
      <w:r>
        <w:rPr>
          <w:sz w:val="24"/>
        </w:rPr>
        <w:t>Fax Number 713/646-3239</w:t>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sz w:val="24"/>
        </w:rPr>
      </w:pPr>
      <w:r>
        <w:rPr>
          <w:sz w:val="24"/>
        </w:rPr>
      </w:r>
    </w:p>
    <w:p>
      <w:pPr>
        <w:pStyle w:val="Normal"/>
        <w:tabs>
          <w:tab w:val="clear" w:pos="720"/>
          <w:tab w:val="left" w:pos="4320" w:leader="none"/>
          <w:tab w:val="left" w:pos="7560" w:leader="none"/>
        </w:tabs>
        <w:rPr>
          <w:i/>
          <w:i/>
          <w:sz w:val="16"/>
        </w:rPr>
      </w:pPr>
      <w:r>
        <w:rPr>
          <w:i/>
          <w:sz w:val="16"/>
        </w:rPr>
        <w:t>Q\gascon\common\kp\letters\EnronApril2000 noms 032200.doc</w:t>
      </w:r>
    </w:p>
    <w:sectPr>
      <w:type w:val="continuous"/>
      <w:pgSz w:w="12240" w:h="15840"/>
      <w:pgMar w:left="1440" w:right="1440" w:gutter="0" w:header="0" w:top="864"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Logoltr.dot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2000-03-22T16:23:00Z</dcterms:created>
  <dc:creator>Devon Energy</dc:creator>
  <dc:description/>
  <dc:language>en-CA</dc:language>
  <cp:lastModifiedBy>Cynthia Cantrell</cp:lastModifiedBy>
  <cp:lastPrinted>1997-06-16T10:57:00Z</cp:lastPrinted>
  <dcterms:modified xsi:type="dcterms:W3CDTF">2000-03-22T16:23:00Z</dcterms:modified>
  <cp:revision>2</cp:revision>
  <dc:subject/>
  <dc:title> </dc:title>
</cp:coreProperties>
</file>