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pPr>
      <w:r>
        <w:rPr/>
        <w:t xml:space="preserve">Enron Fuels Power and Energy Market’s Engine </w:t>
      </w:r>
    </w:p>
    <w:p>
      <w:pPr>
        <w:pStyle w:val="Normal"/>
        <w:rPr/>
      </w:pPr>
      <w:r>
        <w:rPr/>
      </w:r>
    </w:p>
    <w:p>
      <w:pPr>
        <w:pStyle w:val="Normal"/>
        <w:rPr/>
      </w:pPr>
      <w:r>
        <w:rPr/>
        <w:t>By Bo Glasgow, for Global Finance Magazine, July 1, 2001 issue</w:t>
      </w:r>
    </w:p>
    <w:p>
      <w:pPr>
        <w:pStyle w:val="Normal"/>
        <w:rPr/>
      </w:pPr>
      <w:r>
        <w:rPr/>
      </w:r>
    </w:p>
    <w:p>
      <w:pPr>
        <w:pStyle w:val="Normal"/>
        <w:rPr/>
      </w:pPr>
      <w:r>
        <w:rPr/>
        <w:t xml:space="preserve">Enron is a key player in the quest to meet the growing global demand for power and energy. </w:t>
      </w:r>
    </w:p>
    <w:p>
      <w:pPr>
        <w:pStyle w:val="Normal"/>
        <w:rPr/>
      </w:pPr>
      <w:r>
        <w:rPr/>
      </w:r>
    </w:p>
    <w:p>
      <w:pPr>
        <w:pStyle w:val="Normal"/>
        <w:rPr/>
      </w:pPr>
      <w:r>
        <w:rPr/>
        <w:t>Riding the coattails of a unique constellation of emerging factors has been crucial in Enron’s transformation from a natural gas pipeline company to a global risk merchant, commodity marketer and market maker: Deregulation, technology advances, the advent of a B2B Internet and the development of sophisticated risk management financial instruments have all been partial midwives in the process.</w:t>
      </w:r>
    </w:p>
    <w:p>
      <w:pPr>
        <w:pStyle w:val="Normal"/>
        <w:rPr/>
      </w:pPr>
      <w:r>
        <w:rPr/>
      </w:r>
    </w:p>
    <w:p>
      <w:pPr>
        <w:pStyle w:val="Normal"/>
        <w:rPr/>
      </w:pPr>
      <w:r>
        <w:rPr/>
        <w:t>Deregulation led to the commoditizing of wholesale or “merchant” energy. Salomon Smith Barney expects this area to be a “primary growth driver” for Enron over the next five years, as “energy markets around the world continue to deregulate” and Enron continues to “leverage its industry-leading intermediation skills” and the EnronOnline platform. Salomon analyst Raymond Niles estimates that “only 15%-20% of an $800 billion global merchant energy opportunity” is presently commoditized. He characterizes Enron as the industry’s “leading risk merchant,” and defines their core business now growing at a 30%-40% clip as the “management of price risk in fast-growing and deregulating commodity markets.”</w:t>
      </w:r>
    </w:p>
    <w:p>
      <w:pPr>
        <w:pStyle w:val="Normal"/>
        <w:rPr/>
      </w:pPr>
      <w:r>
        <w:rPr/>
      </w:r>
    </w:p>
    <w:p>
      <w:pPr>
        <w:pStyle w:val="Normal"/>
        <w:rPr/>
      </w:pPr>
      <w:r>
        <w:rPr/>
        <w:t>Enron offers price risk management services related to energy sector commodities (natural gas, electricity, crude oil and natural gas liquids), using a variety of financial instruments including forward contracts, swap agreements, options and other contractual arrangements. Interest rate risks and foreign currency risks associated with the fair value of the commodities portfolio are managed using financial futures, swaps and options.</w:t>
      </w:r>
    </w:p>
    <w:p>
      <w:pPr>
        <w:pStyle w:val="Normal"/>
        <w:rPr/>
      </w:pPr>
      <w:r>
        <w:rPr/>
      </w:r>
    </w:p>
    <w:p>
      <w:pPr>
        <w:pStyle w:val="Normal"/>
        <w:rPr/>
      </w:pPr>
      <w:r>
        <w:rPr/>
        <w:t>JP Morgan lauds Enron’s “selling and trading BTUs and managing energy” as a franchise with the following components: price-risk management; logistics and settlement; credit risk management; trading and marketing expertise; market-making capabilities (spot and forward); structured origination expertise; physical delivery capability; scalable, highly successful Web-based interface (EnronOnline); and proven back and front-office IT infrastructure. This e-commerce transaction platform enables real time transactions, free of charge, with Enron serving as principal in each transaction.</w:t>
      </w:r>
    </w:p>
    <w:p>
      <w:pPr>
        <w:pStyle w:val="Normal"/>
        <w:rPr/>
      </w:pPr>
      <w:r>
        <w:rPr/>
      </w:r>
    </w:p>
    <w:p>
      <w:pPr>
        <w:pStyle w:val="Normal"/>
        <w:rPr/>
      </w:pPr>
      <w:r>
        <w:rPr/>
        <w:t>Enron provides capital to energy businesses, including investments in merchant assets such as power plants and natural gas pipelines, primarily held through equity method investments. Some of these assets were developed, constructed and operated by Enron, but are not expected to remain as long-term holdings.</w:t>
      </w:r>
    </w:p>
    <w:p>
      <w:pPr>
        <w:pStyle w:val="Normal"/>
        <w:rPr/>
      </w:pPr>
      <w:r>
        <w:rPr/>
      </w:r>
    </w:p>
    <w:p>
      <w:pPr>
        <w:pStyle w:val="Normal"/>
        <w:rPr/>
      </w:pPr>
      <w:r>
        <w:rPr/>
        <w:t>At the end of 2000, the fair value of instruments related to price risk management activities exceeded $10 billion in natural gas and approached $8 billion in Electricity.</w:t>
      </w:r>
    </w:p>
    <w:p>
      <w:pPr>
        <w:pStyle w:val="Normal"/>
        <w:rPr/>
      </w:pPr>
      <w:r>
        <w:rPr/>
      </w:r>
    </w:p>
    <w:p>
      <w:pPr>
        <w:pStyle w:val="Normal"/>
        <w:rPr/>
      </w:pPr>
      <w:r>
        <w:rPr/>
        <w:t xml:space="preserve">The only pan-European player, Enron is extending its market-making approach there in the wake of deregulation, focusing on the U.K., but quickly embracing the Continent and Nordic region. </w:t>
      </w:r>
    </w:p>
    <w:p>
      <w:pPr>
        <w:pStyle w:val="Normal"/>
        <w:rPr/>
      </w:pPr>
      <w:r>
        <w:rPr/>
      </w:r>
    </w:p>
    <w:p>
      <w:pPr>
        <w:pStyle w:val="Normal"/>
        <w:rPr/>
      </w:pPr>
      <w:r>
        <w:rPr/>
        <w:t>In Spain, Enron is developing a 1200 megawatt plant in Arcos, south of Seville, that should close financing this year. It initiated the first gas supply deal in Germany to the local utilities of Heidelberg, Tuebingen and Bensheim, is the largest power marketer in the Nordic region and considers Japan’s market promising since rates and consumption there are second only to the U.S.</w:t>
      </w:r>
    </w:p>
    <w:p>
      <w:pPr>
        <w:pStyle w:val="Normal"/>
        <w:rPr/>
      </w:pPr>
      <w:r>
        <w:rPr/>
      </w:r>
    </w:p>
    <w:p>
      <w:pPr>
        <w:pStyle w:val="Normal"/>
        <w:rPr/>
      </w:pPr>
      <w:hyperlink r:id="rId2">
        <w:r>
          <w:rPr>
            <w:rStyle w:val="Hyperlink"/>
          </w:rPr>
          <w:t>sufisurfer@cs.com</w:t>
        </w:r>
      </w:hyperlink>
      <w:r>
        <w:rPr/>
        <w:t xml:space="preserve"> </w:t>
        <w:tab/>
        <w:t>(212) 222-9672</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ufisurfer@c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2001-06-06T13:09:00Z</dcterms:created>
  <dc:creator>Bo G. &amp; Helga T.</dc:creator>
  <dc:description/>
  <dc:language>en-CA</dc:language>
  <cp:lastModifiedBy>Bo G. &amp; Helga T.</cp:lastModifiedBy>
  <cp:lastPrinted>2001-06-06T09:25:00Z</cp:lastPrinted>
  <dcterms:modified xsi:type="dcterms:W3CDTF">2001-06-06T13:56:00Z</dcterms:modified>
  <cp:revision>13</cp:revision>
  <dc:subject/>
  <dc:title>Enron Helps Fuel Financial Engine of Power and Energy</dc:title>
</cp:coreProperties>
</file>