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b/>
          <w:sz w:val="24"/>
        </w:rPr>
      </w:pPr>
      <w:r>
        <w:rPr>
          <w:rFonts w:cs="CG Times" w:ascii="CG Times" w:hAnsi="CG Times"/>
          <w:b/>
          <w:sz w:val="24"/>
          <w:u w:val="single"/>
        </w:rPr>
        <w:t>CONFIDENTIALITY AGREEMENT</w:t>
      </w:r>
    </w:p>
    <w:p>
      <w:pPr>
        <w:pStyle w:val="Normal"/>
        <w:rPr>
          <w:rFonts w:ascii="CG Times" w:hAnsi="CG Times" w:cs="CG Times"/>
          <w:b/>
          <w:sz w:val="24"/>
        </w:rPr>
      </w:pPr>
      <w:r>
        <w:rPr>
          <w:rFonts w:cs="CG Times" w:ascii="CG Times" w:hAnsi="CG Times"/>
          <w:b/>
          <w:sz w:val="24"/>
        </w:rPr>
      </w:r>
    </w:p>
    <w:p>
      <w:pPr>
        <w:pStyle w:val="Normal"/>
        <w:jc w:val="both"/>
        <w:rPr/>
      </w:pPr>
      <w:r>
        <w:rPr>
          <w:rFonts w:cs="CG Times" w:ascii="CG Times" w:hAnsi="CG Times"/>
          <w:b/>
          <w:sz w:val="24"/>
        </w:rPr>
        <w:tab/>
        <w:t>THIS AGREEMENT</w:t>
      </w:r>
      <w:r>
        <w:rPr>
          <w:rFonts w:cs="CG Times" w:ascii="CG Times" w:hAnsi="CG Times"/>
          <w:sz w:val="24"/>
        </w:rPr>
        <w:t xml:space="preserve"> is entered into this </w:t>
      </w:r>
      <w:r>
        <w:rPr>
          <w:rFonts w:cs="CG Times" w:ascii="CG Times" w:hAnsi="CG Times"/>
          <w:sz w:val="24"/>
          <w:u w:val="single"/>
        </w:rPr>
        <w:t xml:space="preserve">     </w:t>
      </w:r>
      <w:r>
        <w:rPr>
          <w:rFonts w:cs="CG Times" w:ascii="CG Times" w:hAnsi="CG Times"/>
          <w:sz w:val="24"/>
        </w:rPr>
        <w:t xml:space="preserve"> day of December, 2000, by and between Aquila Energy Marketing Corporation, a Delaware corporation ("AQUILA”), and Enron, a __________________ corporation (“ENRON”).  In this Agreement, “Disclosing Party” refers to AQUILA whenever it is disclosing information to ENRON, and to ENRON whenever it is disclosing information to AQUILA, and “Recipient” refers to AQUILA whenever it is receiving information from ENRON, and ENRON whenever it is receiving information from AQUILA.</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r>
      <w:r>
        <w:rPr>
          <w:rFonts w:cs="CG Times" w:ascii="CG Times" w:hAnsi="CG Times"/>
          <w:b/>
          <w:sz w:val="24"/>
        </w:rPr>
        <w:t>WHEREAS</w:t>
      </w:r>
      <w:r>
        <w:rPr>
          <w:rFonts w:cs="CG Times" w:ascii="CG Times" w:hAnsi="CG Times"/>
          <w:sz w:val="24"/>
        </w:rPr>
        <w:t>, the parties are prepared to furnish confidential information under this Agreement for the purpose of considering one or more business transactions (each, a “Transaction”).</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r>
      <w:r>
        <w:rPr>
          <w:rFonts w:cs="CG Times" w:ascii="CG Times" w:hAnsi="CG Times"/>
          <w:b/>
          <w:sz w:val="24"/>
        </w:rPr>
        <w:t>NOW, THEREFORE</w:t>
      </w:r>
      <w:r>
        <w:rPr>
          <w:rFonts w:cs="CG Times" w:ascii="CG Times" w:hAnsi="CG Times"/>
          <w:sz w:val="24"/>
        </w:rPr>
        <w:t>, in consideration of the premises hereof and the promises set forth below, the parties agree as follows:</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1.</w:t>
        <w:tab/>
      </w:r>
      <w:r>
        <w:rPr>
          <w:rFonts w:cs="CG Times" w:ascii="CG Times" w:hAnsi="CG Times"/>
          <w:sz w:val="24"/>
          <w:u w:val="single"/>
        </w:rPr>
        <w:t>Confidential Information</w:t>
      </w:r>
      <w:r>
        <w:rPr>
          <w:rFonts w:cs="CG Times" w:ascii="CG Times" w:hAnsi="CG Times"/>
          <w:sz w:val="24"/>
        </w:rPr>
        <w:t>.  "Confidential Information" as used in this Agreement means all information relating to a Transaction disclosed to Recipient by Disclosing Party, including any business, technical, marketing, financial or other information, whether in electronic, oral or written form, and all notes, analyses, compilations, studies or other documents prepared by Recipient which contain or reflect such information.  The contents or existence of discussions or negotiations related to a Transaction shall constitute Confidential Information.  Confidential Information shall not include information that (a) is or becomes part of the public domain other than as a result of disclosure by Recipient, (b) becomes available to Recipient on a nonconfidential basis from a source other than Disclosing Party, provided that, to the best of Recipient’s knowledge after due inquiry, such source is not prohibited from transmitting such information by a contractual, legal, or other obligation, (c) was in Recipient's possession prior to disclosure of the same by Disclosing Party, or (d) can be shown by Recipient to have been independently developed by its Representatives (as defined below) without access to the Confidential Information.</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2.</w:t>
        <w:tab/>
      </w:r>
      <w:r>
        <w:rPr>
          <w:rFonts w:cs="CG Times" w:ascii="CG Times" w:hAnsi="CG Times"/>
          <w:sz w:val="24"/>
          <w:u w:val="single"/>
        </w:rPr>
        <w:t>Non-Use; Protection and Dissemination of Confidential Information</w:t>
      </w:r>
      <w:r>
        <w:rPr>
          <w:rFonts w:cs="CG Times" w:ascii="CG Times" w:hAnsi="CG Times"/>
          <w:sz w:val="24"/>
        </w:rPr>
        <w:t>.  Recipient agrees not to use the Confidential Information for purposes other than evaluating a Transaction.  Recipient shall not disclose the Confidential Information to any other party and will use all reasonable efforts to protect the confidentiality of such information; provided, however, that Recipient may furnish Confidential Information to those employees, officers, directors, agents, consultants, affiliates, and advisors of Recipient (collectively, the “Representatives” of such Recipient) who need to have access to such Confidential Information in order to assist Recipient in its evaluation of a Transaction.  As a condition to such disclosure, Recipient shall inform its Representatives of the confidential nature of the information and shall be responsible for any breach of this Agreement by any such Representatives.</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3.</w:t>
        <w:tab/>
      </w:r>
      <w:r>
        <w:rPr>
          <w:rFonts w:cs="CG Times" w:ascii="CG Times" w:hAnsi="CG Times"/>
          <w:sz w:val="24"/>
          <w:u w:val="single"/>
        </w:rPr>
        <w:t>Ownership and Return</w:t>
      </w:r>
      <w:r>
        <w:rPr>
          <w:rFonts w:cs="CG Times" w:ascii="CG Times" w:hAnsi="CG Times"/>
          <w:sz w:val="24"/>
        </w:rPr>
        <w:t xml:space="preserve">.  All Confidential Information shall be and remain the property of Disclosing Party, and no right or license is granted to Recipient with respect to any Confidential Information.  Upon the termination by either party of discussions concerning a Transaction, or sooner if so requested, Recipient agrees to return to Disclosing Party or destroy all Confidential Information, including all copies of the same.  Upon request, the fact of any such destruction shall be certified in writing to Disclosing Party by an officer of Recipient.  Nothing in this Agreement obligates Disclosing Party to disclose any information to the Recipient or creates any agency or partnership relation between them. </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4.</w:t>
        <w:tab/>
      </w:r>
      <w:r>
        <w:rPr>
          <w:rFonts w:cs="CG Times" w:ascii="CG Times" w:hAnsi="CG Times"/>
          <w:sz w:val="24"/>
          <w:u w:val="single"/>
        </w:rPr>
        <w:t>Compelled Disclosure</w:t>
      </w:r>
      <w:r>
        <w:rPr>
          <w:rFonts w:cs="CG Times" w:ascii="CG Times" w:hAnsi="CG Times"/>
          <w:sz w:val="24"/>
        </w:rPr>
        <w:t>.  If Recipient is requested or required by legal or administrative process to disclose any Confidential Information, Recipient shall promptly notify Disclosing Party of such request or requirement so that Disclosing Party may seek an appropriate protective order or other relief.  In any case, Recipient will (a) disclose only that portion of the Confidential Information which Recipient’s legal counsel advises is required to be disclosed, (b) use its reasonable efforts to ensure that such Confidential Information is treated confidentially, and (c) notify Disclosing Party as soon as reasonably practicable of the items of Confidential Information so disclosed.</w:t>
      </w:r>
    </w:p>
    <w:p>
      <w:pPr>
        <w:pStyle w:val="Normal"/>
        <w:jc w:val="both"/>
        <w:rPr>
          <w:rFonts w:ascii="CG Times" w:hAnsi="CG Times" w:cs="CG Times"/>
          <w:sz w:val="24"/>
        </w:rPr>
      </w:pPr>
      <w:r>
        <w:rPr>
          <w:rFonts w:cs="CG Times" w:ascii="CG Times" w:hAnsi="CG Times"/>
          <w:sz w:val="24"/>
        </w:rPr>
      </w:r>
    </w:p>
    <w:p>
      <w:pPr>
        <w:pStyle w:val="bspmBodj"/>
        <w:widowControl/>
        <w:rPr/>
      </w:pPr>
      <w:r>
        <w:rPr>
          <w:rFonts w:cs="CG Times" w:ascii="CG Times" w:hAnsi="CG Times"/>
        </w:rPr>
        <w:tab/>
        <w:t>5.</w:t>
        <w:tab/>
      </w:r>
      <w:r>
        <w:rPr>
          <w:rFonts w:cs="CG Times" w:ascii="CG Times" w:hAnsi="CG Times"/>
          <w:u w:val="single"/>
        </w:rPr>
        <w:t>Remedies</w:t>
      </w:r>
      <w:r>
        <w:rPr>
          <w:rFonts w:cs="CG Times" w:ascii="CG Times" w:hAnsi="CG Times"/>
        </w:rPr>
        <w:t xml:space="preserve">.  Both parties acknowledge that remedies at law may be inadequate to protect Disclosing Party against any actual or threatened breach of this Agreement by Recipient, and, without prejudice to any other rights and remedies otherwise available to Disclosing Party, agree to the granting of injunctive relief in favor of Disclosing Party without proof of actual damages.  In the event of litigation between the parties concerning an alleged breach of this Agreement, the non-prevailing party shall be responsible for the prevailing party’s costs and expenses in such litigation, including attorneys’ fees. </w:t>
      </w:r>
      <w:r>
        <w:rPr/>
        <w:t>Notwithstanding the foregoing, the Recipient’s liability to the Disclosing Party in contract shall be limited to direct damages, and shall exclude any other liability, including liability for special, indirect, punitive or consequential damages in contract, tort, warranty, strict liability or otherwise.</w:t>
      </w:r>
    </w:p>
    <w:p>
      <w:pPr>
        <w:pStyle w:val="Normal"/>
        <w:jc w:val="both"/>
        <w:rPr/>
      </w:pPr>
      <w:r>
        <w:rPr>
          <w:rFonts w:cs="CG Times" w:ascii="CG Times" w:hAnsi="CG Times"/>
          <w:sz w:val="24"/>
        </w:rPr>
        <w:tab/>
        <w:t>6.</w:t>
        <w:tab/>
      </w:r>
      <w:r>
        <w:rPr>
          <w:rFonts w:cs="CG Times" w:ascii="CG Times" w:hAnsi="CG Times"/>
          <w:sz w:val="24"/>
          <w:u w:val="single"/>
        </w:rPr>
        <w:t>Transaction</w:t>
      </w:r>
      <w:r>
        <w:rPr>
          <w:rFonts w:cs="CG Times" w:ascii="CG Times" w:hAnsi="CG Times"/>
          <w:sz w:val="24"/>
        </w:rPr>
        <w:t>.  Both parties agree that unless and until a final, written definitive agreement regarding a Transaction between the parties has been executed and delivered, neither party will be under any legal obligation of any kind whatsoever with respect to such Transaction by virtue of this Agreement, except for the matters specifically agreed to herein.  No representation or warranty is made by the Disclosing Party as to the accuracy or completeness of any information provided to the Recipient.</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7.</w:t>
        <w:tab/>
      </w:r>
      <w:r>
        <w:rPr>
          <w:rFonts w:cs="CG Times" w:ascii="CG Times" w:hAnsi="CG Times"/>
          <w:sz w:val="24"/>
          <w:u w:val="single"/>
        </w:rPr>
        <w:t>Term and Termination</w:t>
      </w:r>
      <w:r>
        <w:rPr>
          <w:rFonts w:cs="CG Times" w:ascii="CG Times" w:hAnsi="CG Times"/>
          <w:sz w:val="24"/>
        </w:rPr>
        <w:t>.  This Agreement will continue in effect for a period of one (1) year from the date hereof, unless either party terminates it earlier by providing a written termination notice to the other party; provided, however, that if this Agreement is so terminated by either party, this Agreement will continue to apply to any Confidential Information disclosed hereunder prior to the other party’s receipt of the termination notice until the end of the one-year term.</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t>8.</w:t>
        <w:tab/>
      </w:r>
      <w:r>
        <w:rPr>
          <w:rFonts w:cs="CG Times" w:ascii="CG Times" w:hAnsi="CG Times"/>
          <w:sz w:val="24"/>
          <w:u w:val="single"/>
        </w:rPr>
        <w:t>Miscellaneous</w:t>
      </w:r>
      <w:r>
        <w:rPr>
          <w:rFonts w:cs="CG Times" w:ascii="CG Times" w:hAnsi="CG Times"/>
          <w:sz w:val="24"/>
        </w:rPr>
        <w:t xml:space="preserve">.  This Agreement shall inure to the benefit of and shall be binding upon the parties’ respective successors and permitted assigns.  In the event that any one of the provisions contained in this Agreement should be found to be invalid, illegal or unenforceable in any respect by a court of competent jurisdiction, the validity, legality or enforceability of the remaining provisions contained in this Agreement shall not in any way be affected or impaired by such a finding.  No waiver of any provisions of this Agreement shall be valid unless the same is in writing and signed by the party against whom such waiver is sought to be enforced.  A waiver or consent given by either party on any one occasion is effective only in that instance and will not be construed as a bar to or waiver of any right on any other occasion.  This Agreement contains the entire agreement of the parties, supersedes any and all prior agreements, written or oral, between them relating to the subject matter hereof, and may not be amended unless agreed to in writing by each party.  This Agreement shall be governed by and interpreted in accordance with the laws of the state of Missouri (without regard to its conflict of laws provisions).  </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sz w:val="24"/>
        </w:rPr>
        <w:tab/>
      </w:r>
      <w:r>
        <w:rPr>
          <w:rFonts w:cs="CG Times" w:ascii="CG Times" w:hAnsi="CG Times"/>
          <w:b/>
          <w:sz w:val="24"/>
        </w:rPr>
        <w:t>IN WITNESS WHEREOF</w:t>
      </w:r>
      <w:r>
        <w:rPr>
          <w:rFonts w:cs="CG Times" w:ascii="CG Times" w:hAnsi="CG Times"/>
          <w:sz w:val="24"/>
        </w:rPr>
        <w:t>, the parties have executed this Agreement as of the date first written above.</w:t>
      </w:r>
    </w:p>
    <w:p>
      <w:pPr>
        <w:pStyle w:val="Normal"/>
        <w:jc w:val="both"/>
        <w:rPr>
          <w:rFonts w:ascii="CG Times" w:hAnsi="CG Times" w:cs="CG Times"/>
          <w:sz w:val="24"/>
        </w:rPr>
      </w:pPr>
      <w:r>
        <w:rPr>
          <w:rFonts w:cs="CG Times" w:ascii="CG Times" w:hAnsi="CG Times"/>
          <w:sz w:val="24"/>
        </w:rPr>
      </w:r>
    </w:p>
    <w:p>
      <w:pPr>
        <w:pStyle w:val="Normal"/>
        <w:ind w:start="4320" w:end="0"/>
        <w:jc w:val="both"/>
        <w:rPr>
          <w:rFonts w:ascii="CG Times" w:hAnsi="CG Times" w:cs="CG Times"/>
          <w:b/>
          <w:sz w:val="24"/>
        </w:rPr>
      </w:pPr>
      <w:r>
        <w:rPr>
          <w:rFonts w:cs="CG Times" w:ascii="CG Times" w:hAnsi="CG Times"/>
          <w:b/>
          <w:sz w:val="24"/>
        </w:rPr>
        <w:t>AQUILA ENERGY MARKETING</w:t>
      </w:r>
    </w:p>
    <w:p>
      <w:pPr>
        <w:pStyle w:val="Normal"/>
        <w:ind w:start="4320" w:end="0"/>
        <w:jc w:val="both"/>
        <w:rPr>
          <w:rFonts w:ascii="CG Times" w:hAnsi="CG Times" w:cs="CG Times"/>
          <w:sz w:val="24"/>
        </w:rPr>
      </w:pPr>
      <w:r>
        <w:rPr>
          <w:rFonts w:cs="CG Times" w:ascii="CG Times" w:hAnsi="CG Times"/>
          <w:b/>
          <w:sz w:val="24"/>
        </w:rPr>
        <w:t>CORPORATION</w:t>
      </w:r>
    </w:p>
    <w:p>
      <w:pPr>
        <w:pStyle w:val="Normal"/>
        <w:jc w:val="both"/>
        <w:rPr>
          <w:rFonts w:ascii="CG Times" w:hAnsi="CG Times" w:cs="CG Times"/>
          <w:sz w:val="24"/>
        </w:rPr>
      </w:pPr>
      <w:r>
        <w:rPr>
          <w:rFonts w:cs="CG Times" w:ascii="CG Times" w:hAnsi="CG Times"/>
          <w:sz w:val="24"/>
        </w:rPr>
        <w:tab/>
        <w:tab/>
        <w:tab/>
        <w:tab/>
        <w:tab/>
        <w:tab/>
        <w:t>1100 Walnut, Suite 3400</w:t>
      </w:r>
    </w:p>
    <w:p>
      <w:pPr>
        <w:pStyle w:val="Normal"/>
        <w:jc w:val="both"/>
        <w:rPr>
          <w:rFonts w:ascii="CG Times" w:hAnsi="CG Times" w:cs="CG Times"/>
          <w:sz w:val="24"/>
        </w:rPr>
      </w:pPr>
      <w:r>
        <w:rPr>
          <w:rFonts w:cs="CG Times" w:ascii="CG Times" w:hAnsi="CG Times"/>
          <w:sz w:val="24"/>
        </w:rPr>
        <w:tab/>
        <w:tab/>
        <w:tab/>
        <w:tab/>
        <w:tab/>
        <w:tab/>
        <w:t xml:space="preserve">P.O. Box 13207 </w:t>
      </w:r>
    </w:p>
    <w:p>
      <w:pPr>
        <w:pStyle w:val="Normal"/>
        <w:jc w:val="both"/>
        <w:rPr>
          <w:rFonts w:ascii="CG Times" w:hAnsi="CG Times" w:cs="CG Times"/>
          <w:sz w:val="24"/>
        </w:rPr>
      </w:pPr>
      <w:r>
        <w:rPr>
          <w:rFonts w:cs="CG Times" w:ascii="CG Times" w:hAnsi="CG Times"/>
          <w:sz w:val="24"/>
        </w:rPr>
        <w:tab/>
        <w:tab/>
        <w:tab/>
        <w:tab/>
        <w:tab/>
        <w:tab/>
        <w:t>Kansas City, MO 64106</w:t>
      </w:r>
    </w:p>
    <w:p>
      <w:pPr>
        <w:pStyle w:val="Normal"/>
        <w:ind w:start="720" w:end="0"/>
        <w:jc w:val="end"/>
        <w:rPr>
          <w:rFonts w:ascii="CG Times" w:hAnsi="CG Times" w:cs="CG Times"/>
          <w:sz w:val="24"/>
        </w:rPr>
      </w:pPr>
      <w:r>
        <w:rPr>
          <w:rFonts w:eastAsia="CG Times" w:cs="CG Times" w:ascii="CG Times" w:hAnsi="CG Times"/>
          <w:sz w:val="24"/>
          <w:u w:val="single"/>
        </w:rPr>
        <w:t xml:space="preserve">                                                                      </w:t>
      </w:r>
    </w:p>
    <w:p>
      <w:pPr>
        <w:pStyle w:val="Normal"/>
        <w:jc w:val="both"/>
        <w:rPr>
          <w:rFonts w:ascii="CG Times" w:hAnsi="CG Times" w:cs="CG Times"/>
          <w:sz w:val="24"/>
        </w:rPr>
      </w:pPr>
      <w:r>
        <w:rPr>
          <w:rFonts w:cs="CG Times" w:ascii="CG Times" w:hAnsi="CG Times"/>
          <w:sz w:val="24"/>
        </w:rPr>
        <w:tab/>
        <w:tab/>
        <w:tab/>
        <w:tab/>
        <w:tab/>
        <w:tab/>
        <w:t xml:space="preserve">Name: </w:t>
      </w:r>
      <w:r>
        <w:rPr>
          <w:rFonts w:cs="CG Times" w:ascii="CG Times" w:hAnsi="CG Times"/>
          <w:b/>
          <w:sz w:val="24"/>
          <w:u w:val="single"/>
        </w:rPr>
        <w:tab/>
        <w:tab/>
        <w:tab/>
        <w:tab/>
      </w:r>
      <w:r>
        <w:rPr>
          <w:rFonts w:cs="CG Times" w:ascii="CG Times" w:hAnsi="CG Times"/>
          <w:sz w:val="24"/>
          <w:u w:val="single"/>
        </w:rPr>
        <w:t xml:space="preserve">                                                         </w:t>
      </w:r>
    </w:p>
    <w:p>
      <w:pPr>
        <w:pStyle w:val="Normal"/>
        <w:jc w:val="both"/>
        <w:rPr>
          <w:rFonts w:ascii="CG Times" w:hAnsi="CG Times" w:cs="CG Times"/>
          <w:b/>
          <w:sz w:val="24"/>
          <w:u w:val="single"/>
        </w:rPr>
      </w:pPr>
      <w:r>
        <w:rPr>
          <w:rFonts w:cs="CG Times" w:ascii="CG Times" w:hAnsi="CG Times"/>
          <w:sz w:val="24"/>
        </w:rPr>
        <w:tab/>
        <w:tab/>
        <w:tab/>
        <w:tab/>
        <w:tab/>
        <w:tab/>
        <w:t xml:space="preserve">Title: </w:t>
      </w:r>
      <w:r>
        <w:rPr>
          <w:rFonts w:cs="CG Times" w:ascii="CG Times" w:hAnsi="CG Times"/>
          <w:sz w:val="24"/>
          <w:u w:val="single"/>
        </w:rPr>
        <w:tab/>
        <w:tab/>
        <w:tab/>
        <w:tab/>
        <w:tab/>
        <w:t xml:space="preserve">                                                            </w:t>
      </w:r>
    </w:p>
    <w:p>
      <w:pPr>
        <w:pStyle w:val="Normal"/>
        <w:jc w:val="both"/>
        <w:rPr>
          <w:rFonts w:ascii="CG Times" w:hAnsi="CG Times" w:cs="CG Times"/>
          <w:b/>
          <w:sz w:val="24"/>
          <w:u w:val="single"/>
        </w:rPr>
      </w:pPr>
      <w:r>
        <w:rPr>
          <w:rFonts w:cs="CG Times" w:ascii="CG Times" w:hAnsi="CG Times"/>
          <w:b/>
          <w:sz w:val="24"/>
          <w:u w:val="single"/>
        </w:rPr>
      </w:r>
    </w:p>
    <w:p>
      <w:pPr>
        <w:pStyle w:val="Normal"/>
        <w:jc w:val="both"/>
        <w:rPr>
          <w:rFonts w:ascii="CG Times" w:hAnsi="CG Times" w:cs="CG Times"/>
          <w:b/>
          <w:sz w:val="24"/>
          <w:u w:val="single"/>
        </w:rPr>
      </w:pPr>
      <w:r>
        <w:rPr>
          <w:rFonts w:cs="CG Times" w:ascii="CG Times" w:hAnsi="CG Times"/>
          <w:b/>
          <w:sz w:val="24"/>
          <w:u w:val="single"/>
        </w:rPr>
      </w:r>
    </w:p>
    <w:p>
      <w:pPr>
        <w:pStyle w:val="Normal"/>
        <w:ind w:start="4320" w:end="0"/>
        <w:rPr>
          <w:rFonts w:ascii="CG Times" w:hAnsi="CG Times" w:cs="CG Times"/>
          <w:b/>
          <w:sz w:val="24"/>
        </w:rPr>
      </w:pPr>
      <w:r>
        <w:rPr>
          <w:rFonts w:cs="CG Times" w:ascii="CG Times" w:hAnsi="CG Times"/>
          <w:b/>
          <w:sz w:val="24"/>
        </w:rPr>
        <w:t>ENRON</w:t>
      </w:r>
    </w:p>
    <w:p>
      <w:pPr>
        <w:pStyle w:val="Normal"/>
        <w:ind w:start="4320" w:end="0"/>
        <w:rPr>
          <w:rFonts w:ascii="CG Times" w:hAnsi="CG Times" w:cs="CG Times"/>
          <w:b/>
          <w:sz w:val="24"/>
        </w:rPr>
      </w:pPr>
      <w:r>
        <w:rPr>
          <w:rFonts w:cs="CG Times" w:ascii="CG Times" w:hAnsi="CG Times"/>
          <w:b/>
          <w:sz w:val="24"/>
        </w:rPr>
        <w:t>_____________________________</w:t>
      </w:r>
    </w:p>
    <w:p>
      <w:pPr>
        <w:pStyle w:val="Normal"/>
        <w:ind w:start="4320" w:end="0"/>
        <w:rPr>
          <w:rFonts w:ascii="CG Times" w:hAnsi="CG Times" w:cs="CG Times"/>
          <w:b/>
          <w:sz w:val="24"/>
        </w:rPr>
      </w:pPr>
      <w:r>
        <w:rPr>
          <w:rFonts w:cs="CG Times" w:ascii="CG Times" w:hAnsi="CG Times"/>
          <w:b/>
          <w:sz w:val="24"/>
        </w:rPr>
        <w:t>_____________________________</w:t>
      </w:r>
    </w:p>
    <w:p>
      <w:pPr>
        <w:pStyle w:val="Normal"/>
        <w:jc w:val="end"/>
        <w:rPr>
          <w:rFonts w:ascii="CG Times" w:hAnsi="CG Times" w:cs="CG Times"/>
          <w:b/>
          <w:sz w:val="24"/>
        </w:rPr>
      </w:pPr>
      <w:r>
        <w:rPr>
          <w:rFonts w:cs="CG Times" w:ascii="CG Times" w:hAnsi="CG Times"/>
          <w:b/>
          <w:sz w:val="24"/>
        </w:rPr>
      </w:r>
    </w:p>
    <w:p>
      <w:pPr>
        <w:pStyle w:val="Normal"/>
        <w:jc w:val="both"/>
        <w:rPr>
          <w:rFonts w:ascii="CG Times" w:hAnsi="CG Times" w:cs="CG Times"/>
          <w:sz w:val="24"/>
        </w:rPr>
      </w:pPr>
      <w:r>
        <w:rPr>
          <w:rFonts w:cs="CG Times" w:ascii="CG Times" w:hAnsi="CG Times"/>
          <w:sz w:val="24"/>
        </w:rPr>
        <w:tab/>
        <w:tab/>
        <w:tab/>
        <w:tab/>
        <w:tab/>
        <w:tab/>
        <w:t xml:space="preserve">Name: </w:t>
      </w:r>
      <w:r>
        <w:rPr>
          <w:rFonts w:cs="CG Times" w:ascii="CG Times" w:hAnsi="CG Times"/>
          <w:b/>
          <w:sz w:val="24"/>
          <w:u w:val="single"/>
        </w:rPr>
        <w:tab/>
        <w:tab/>
        <w:tab/>
        <w:tab/>
      </w:r>
      <w:r>
        <w:rPr>
          <w:rFonts w:cs="CG Times" w:ascii="CG Times" w:hAnsi="CG Times"/>
          <w:sz w:val="24"/>
          <w:u w:val="single"/>
        </w:rPr>
        <w:t xml:space="preserve">                                                            </w:t>
      </w:r>
    </w:p>
    <w:p>
      <w:pPr>
        <w:pStyle w:val="Normal"/>
        <w:jc w:val="both"/>
        <w:rPr>
          <w:rFonts w:ascii="CG Times" w:hAnsi="CG Times" w:cs="CG Times"/>
          <w:sz w:val="24"/>
        </w:rPr>
      </w:pPr>
      <w:r>
        <w:rPr>
          <w:rFonts w:cs="CG Times" w:ascii="CG Times" w:hAnsi="CG Times"/>
          <w:sz w:val="24"/>
        </w:rPr>
        <w:tab/>
        <w:tab/>
        <w:tab/>
        <w:tab/>
        <w:tab/>
        <w:tab/>
        <w:t xml:space="preserve">Title: </w:t>
      </w:r>
      <w:r>
        <w:rPr>
          <w:rFonts w:cs="CG Times" w:ascii="CG Times" w:hAnsi="CG Times"/>
          <w:sz w:val="24"/>
          <w:u w:val="single"/>
        </w:rPr>
        <w:tab/>
        <w:tab/>
        <w:tab/>
        <w:tab/>
        <w:tab/>
        <w:t xml:space="preserve">                                                            </w:t>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r>
    </w:p>
    <w:p>
      <w:pPr>
        <w:pStyle w:val="Normal"/>
        <w:jc w:val="both"/>
        <w:rPr>
          <w:rFonts w:ascii="CG Times" w:hAnsi="CG Times" w:cs="CG Times"/>
          <w:sz w:val="24"/>
        </w:rPr>
      </w:pPr>
      <w:r>
        <w:rPr>
          <w:rFonts w:cs="CG Times" w:ascii="CG Times" w:hAnsi="CG Times"/>
          <w:sz w:val="24"/>
        </w:rPr>
      </w:r>
    </w:p>
    <w:sectPr>
      <w:footerReference w:type="default" r:id="rId2"/>
      <w:type w:val="nextPage"/>
      <w:pgSz w:w="12240" w:h="15840"/>
      <w:pgMar w:left="1800" w:right="180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rPr>
    </w:pPr>
    <w:r>
      <w:rPr>
        <w:sz w:val="14"/>
      </w:rPr>
      <w:t>KC2-100996.1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spmBodj">
    <w:name w:val="bspmBodj"/>
    <w:basedOn w:val="Normal"/>
    <w:qFormat/>
    <w:pPr>
      <w:widowControl w:val="false"/>
      <w:spacing w:before="0" w:after="240"/>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2000-12-19T14:33:00Z</dcterms:created>
  <dc:creator>UtiliCorp United</dc:creator>
  <dc:description/>
  <dc:language>en-CA</dc:language>
  <cp:lastModifiedBy>SLeibhar</cp:lastModifiedBy>
  <cp:lastPrinted>2000-02-09T09:38:00Z</cp:lastPrinted>
  <dcterms:modified xsi:type="dcterms:W3CDTF">2000-12-19T14:33:00Z</dcterms:modified>
  <cp:revision>2</cp:revision>
  <dc:subject/>
  <dc:title>CONFIDENTIALITY AGREEMENT</dc:title>
</cp:coreProperties>
</file>