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 AEP Meeting</w:t>
      </w:r>
    </w:p>
    <w:p>
      <w:pPr>
        <w:pStyle w:val="Normal"/>
        <w:rPr/>
      </w:pPr>
      <w:r>
        <w:rPr/>
      </w:r>
    </w:p>
    <w:p>
      <w:pPr>
        <w:pStyle w:val="Normal"/>
        <w:rPr/>
      </w:pPr>
      <w:r>
        <w:rPr/>
      </w:r>
    </w:p>
    <w:p>
      <w:pPr>
        <w:pStyle w:val="Normal"/>
        <w:rPr/>
      </w:pPr>
      <w:r>
        <w:rPr/>
        <w:t>As the Ohio market opens, there has been very little customer activity in the AEP service area.  In contrast, FirstEnergy has seen a flurry of activity.  The irony is that the shopping credits for AEP are much higher than FirstEnergy.  Enron believes that the primary reason for this is that FirstEnergy offered generation with load following services included.  In the AEP service territory, receipt of the higher shopping credit is predicated on a supplier doing a physical transaction as opposed to offering a financial deal to a customer.  Under the current regulatory scheme, there are barriers to physical delivery, such as the way balancing provisions are structured.  For marketers who do not have generation located in the AEP control area, it is very difficult to follow a customer’s load, thereby making the marketer subject to the risk of substantial penalties and costs under the imbalance rules in effect.</w:t>
      </w:r>
    </w:p>
    <w:p>
      <w:pPr>
        <w:pStyle w:val="Normal"/>
        <w:rPr/>
      </w:pPr>
      <w:r>
        <w:rPr/>
      </w:r>
    </w:p>
    <w:p>
      <w:pPr>
        <w:pStyle w:val="Normal"/>
        <w:rPr/>
      </w:pPr>
      <w:r>
        <w:rPr/>
        <w:t xml:space="preserve">Enron’s proposal, which could work in several ways, would involve obtaining load following services from AEP.  We would potentially envision a swap of power whereby AEP would be the power supplier (including load following, etc.) for Enron’s customers and in exchange, Enron would provide an equivalent amount of power to AEP to use as it pleases.  This power could be delivered whereever AEP needed, thereby potentially avoiding wheeling charges for AEP.  </w:t>
      </w:r>
    </w:p>
    <w:p>
      <w:pPr>
        <w:pStyle w:val="Normal"/>
        <w:rPr/>
      </w:pPr>
      <w:r>
        <w:rPr/>
      </w:r>
    </w:p>
    <w:p>
      <w:pPr>
        <w:pStyle w:val="Normal"/>
        <w:rPr/>
      </w:pPr>
      <w:r>
        <w:rPr/>
        <w:t xml:space="preserve">Our understanding is that AEP has not been interested in a Market Support Generation (MSG) product such as FE offered, because it did not want to tie up its generation.  This proposal, or some variation therof, would allow AEP to have that flexibility.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fr-FR" w:bidi="ar-SA" w:eastAsia="zh-CN"/>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2001-05-10T14:12:00Z</dcterms:created>
  <dc:creator>jmigden</dc:creator>
  <dc:description/>
  <dc:language>en-CA</dc:language>
  <cp:lastModifiedBy>jmigden</cp:lastModifiedBy>
  <dcterms:modified xsi:type="dcterms:W3CDTF">2001-05-10T14:32:00Z</dcterms:modified>
  <cp:revision>1</cp:revision>
  <dc:subject/>
  <dc:title>Enron – AEP Meeting</dc:title>
</cp:coreProperties>
</file>