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"/>
        <w:rPr>
          <w:sz w:val="24"/>
          <w:szCs w:val="24"/>
        </w:rPr>
      </w:pPr>
      <w:r>
        <w:rPr>
          <w:sz w:val="24"/>
          <w:szCs w:val="24"/>
        </w:rPr>
        <w:t>Seth M. Christensen</w:t>
      </w:r>
    </w:p>
    <w:p>
      <w:pPr>
        <w:pStyle w:val="Normal"/>
        <w:widowControl w:val="false"/>
        <w:jc w:val="center"/>
        <w:rPr>
          <w:sz w:val="20"/>
          <w:szCs w:val="20"/>
        </w:rPr>
      </w:pPr>
      <w:r>
        <w:rPr>
          <w:sz w:val="20"/>
          <w:szCs w:val="20"/>
        </w:rPr>
        <w:t>sgchristensen@juno.com</w:t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pBdr>
          <w:bottom w:val="single" w:sz="6" w:space="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3435 McKenna Dr. #11</w:t>
      </w:r>
    </w:p>
    <w:p>
      <w:pPr>
        <w:pStyle w:val="Normal"/>
        <w:widowControl w:val="false"/>
        <w:pBdr>
          <w:bottom w:val="single" w:sz="6" w:space="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Eugene, OR 97401</w:t>
      </w:r>
    </w:p>
    <w:p>
      <w:pPr>
        <w:pStyle w:val="Normal"/>
        <w:widowControl w:val="false"/>
        <w:pBdr>
          <w:bottom w:val="single" w:sz="6" w:space="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  <w:t>(541) 344-9824</w:t>
      </w:r>
    </w:p>
    <w:p>
      <w:pPr>
        <w:pStyle w:val="Normal"/>
        <w:widowControl w:val="false"/>
        <w:pBdr>
          <w:bottom w:val="single" w:sz="6" w:space="0" w:color="000000"/>
        </w:pBdr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hanging="0" w:start="0"/>
        <w:rPr/>
      </w:pPr>
      <w:r>
        <w:rPr/>
        <w:t xml:space="preserve">EDUCATION: </w:t>
      </w:r>
    </w:p>
    <w:p>
      <w:pPr>
        <w:pStyle w:val="Heading1"/>
        <w:ind w:hanging="0" w:start="0"/>
        <w:rPr/>
      </w:pPr>
      <w:r>
        <w:rPr/>
        <w:tab/>
        <w:t xml:space="preserve">University of Oregon, </w:t>
      </w:r>
      <w:r>
        <w:rPr>
          <w:b w:val="false"/>
          <w:bCs w:val="false"/>
        </w:rPr>
        <w:t>Eugene, OR</w:t>
      </w:r>
    </w:p>
    <w:p>
      <w:pPr>
        <w:pStyle w:val="Heading1"/>
        <w:ind w:hanging="0" w:start="0"/>
        <w:rPr>
          <w:b w:val="false"/>
          <w:bCs w:val="false"/>
        </w:rPr>
      </w:pPr>
      <w:r>
        <w:rPr>
          <w:b w:val="false"/>
          <w:bCs w:val="false"/>
        </w:rPr>
        <w:tab/>
      </w:r>
      <w:r>
        <w:rPr>
          <w:i/>
          <w:iCs/>
        </w:rPr>
        <w:t xml:space="preserve">MBA – Finance and Management, </w:t>
      </w:r>
      <w:r>
        <w:rPr>
          <w:b w:val="false"/>
          <w:bCs w:val="false"/>
        </w:rPr>
        <w:t xml:space="preserve">June 2001. </w:t>
      </w:r>
      <w:r>
        <w:rPr/>
        <w:t>GPA: 3.85</w:t>
      </w:r>
    </w:p>
    <w:p>
      <w:pPr>
        <w:pStyle w:val="Heading1"/>
        <w:ind w:hanging="0" w:start="0"/>
        <w:rPr/>
      </w:pPr>
      <w:r>
        <w:rPr/>
        <w:tab/>
      </w:r>
    </w:p>
    <w:p>
      <w:pPr>
        <w:pStyle w:val="Heading1"/>
        <w:ind w:firstLine="720" w:start="0" w:end="0"/>
        <w:rPr/>
      </w:pPr>
      <w:r>
        <w:rPr/>
        <w:t xml:space="preserve">Willamette University, </w:t>
      </w:r>
      <w:r>
        <w:rPr>
          <w:b w:val="false"/>
          <w:bCs w:val="false"/>
        </w:rPr>
        <w:t>Salem, OR</w:t>
      </w:r>
    </w:p>
    <w:p>
      <w:pPr>
        <w:pStyle w:val="Heading1"/>
        <w:ind w:firstLine="720" w:start="0" w:end="0"/>
        <w:rPr/>
      </w:pPr>
      <w:r>
        <w:rPr>
          <w:i/>
          <w:iCs/>
        </w:rPr>
        <w:t>Bachelor of Science – Business Economics and Psychology</w:t>
      </w:r>
      <w:r>
        <w:rPr>
          <w:b w:val="false"/>
          <w:bCs w:val="false"/>
        </w:rPr>
        <w:t xml:space="preserve"> </w:t>
      </w:r>
      <w:r>
        <w:rPr>
          <w:b w:val="false"/>
          <w:bCs w:val="false"/>
          <w:i/>
          <w:iCs/>
        </w:rPr>
        <w:t xml:space="preserve">(English), </w:t>
      </w:r>
      <w:r>
        <w:rPr>
          <w:b w:val="false"/>
          <w:bCs w:val="false"/>
        </w:rPr>
        <w:t>May 1997</w:t>
      </w:r>
    </w:p>
    <w:p>
      <w:pPr>
        <w:pStyle w:val="Normal"/>
        <w:widowControl w:val="fals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EXPERIENCE: </w:t>
        <w:tab/>
      </w:r>
    </w:p>
    <w:p>
      <w:pPr>
        <w:pStyle w:val="Normal"/>
        <w:widowControl w:val="false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ind w:firstLine="720" w:end="0"/>
        <w:rPr/>
      </w:pPr>
      <w:r>
        <w:rPr>
          <w:b/>
          <w:bCs/>
          <w:sz w:val="20"/>
          <w:szCs w:val="20"/>
        </w:rPr>
        <w:t>Construction Systems 2</w:t>
      </w:r>
      <w:r>
        <w:rPr>
          <w:sz w:val="20"/>
          <w:szCs w:val="20"/>
        </w:rPr>
        <w:t xml:space="preserve"> – Springfield, OR</w:t>
      </w:r>
    </w:p>
    <w:p>
      <w:pPr>
        <w:pStyle w:val="Normal"/>
        <w:widowControl w:val="false"/>
        <w:ind w:firstLine="720" w:end="0"/>
        <w:rPr/>
      </w:pPr>
      <w:r>
        <w:rPr>
          <w:b/>
          <w:bCs/>
          <w:i/>
          <w:iCs/>
          <w:sz w:val="20"/>
          <w:szCs w:val="20"/>
        </w:rPr>
        <w:t>General Manager</w:t>
      </w:r>
      <w:r>
        <w:rPr>
          <w:sz w:val="20"/>
          <w:szCs w:val="20"/>
        </w:rPr>
        <w:t xml:space="preserve"> 1997 – present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sz w:val="20"/>
          <w:szCs w:val="20"/>
        </w:rPr>
      </w:pPr>
      <w:r>
        <w:rPr>
          <w:sz w:val="20"/>
          <w:szCs w:val="20"/>
        </w:rPr>
        <w:t>Evaluated investment opportunities for general contracting firm to identify profitable ventures, including new houses, real estate development, and government contracts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sz w:val="20"/>
          <w:szCs w:val="20"/>
        </w:rPr>
      </w:pPr>
      <w:r>
        <w:rPr>
          <w:sz w:val="20"/>
          <w:szCs w:val="20"/>
        </w:rPr>
        <w:t>Grew income by updating managerial accounting procedures to identify the sources of cost and profit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Designed financial accounting and project reporting systems to improve decision making 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b/>
          <w:bCs/>
          <w:sz w:val="20"/>
          <w:szCs w:val="20"/>
        </w:rPr>
      </w:pPr>
      <w:r>
        <w:rPr>
          <w:sz w:val="20"/>
          <w:szCs w:val="20"/>
        </w:rPr>
        <w:t>Provided bids and cost estimates for construction projects and worked with clients to find ways of reducing costs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b/>
          <w:bCs/>
          <w:sz w:val="20"/>
          <w:szCs w:val="20"/>
        </w:rPr>
      </w:pPr>
      <w:r>
        <w:rPr>
          <w:sz w:val="20"/>
          <w:szCs w:val="20"/>
        </w:rPr>
        <w:t>Managed teams of subcontractors in completing large construction projects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1080" w:leader="none"/>
        </w:tabs>
        <w:ind w:hanging="0" w:star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1080" w:leader="none"/>
        </w:tabs>
        <w:ind w:hanging="0" w:star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 w:end="0"/>
        <w:rPr/>
      </w:pPr>
      <w:r>
        <w:rPr>
          <w:b/>
          <w:bCs/>
          <w:sz w:val="20"/>
          <w:szCs w:val="20"/>
        </w:rPr>
        <w:t>Woodruff-Sawyer &amp; Co</w:t>
      </w:r>
      <w:r>
        <w:rPr>
          <w:sz w:val="20"/>
          <w:szCs w:val="20"/>
        </w:rPr>
        <w:t xml:space="preserve"> – San Francisco, CA</w:t>
      </w:r>
    </w:p>
    <w:p>
      <w:pPr>
        <w:pStyle w:val="Normal"/>
        <w:widowControl w:val="false"/>
        <w:numPr>
          <w:ilvl w:val="0"/>
          <w:numId w:val="0"/>
        </w:numPr>
        <w:ind w:hanging="0" w:start="720" w:end="0"/>
        <w:rPr/>
      </w:pPr>
      <w:r>
        <w:rPr>
          <w:b/>
          <w:bCs/>
          <w:i/>
          <w:iCs/>
          <w:sz w:val="20"/>
          <w:szCs w:val="20"/>
        </w:rPr>
        <w:t>MBA Opportunity Planning Team Leader</w:t>
      </w:r>
      <w:r>
        <w:rPr>
          <w:sz w:val="20"/>
          <w:szCs w:val="20"/>
        </w:rPr>
        <w:t xml:space="preserve"> 1999-2000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720" w:start="1440" w:end="0"/>
        <w:rPr>
          <w:sz w:val="20"/>
          <w:szCs w:val="20"/>
        </w:rPr>
      </w:pPr>
      <w:r>
        <w:rPr>
          <w:sz w:val="20"/>
          <w:szCs w:val="20"/>
        </w:rPr>
        <w:t>Led multi-cultural team in identifying and evaluating the competitive needs of San Francisco-based insurance broker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0" w:leader="none"/>
          <w:tab w:val="left" w:pos="720" w:leader="none"/>
        </w:tabs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Provided recommendations for investing in Internet and communications technology for the financial services industry</w:t>
      </w:r>
    </w:p>
    <w:p>
      <w:pPr>
        <w:pStyle w:val="Normal"/>
        <w:widowControl w:val="fals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080" w:leader="none"/>
        </w:tabs>
        <w:ind w:start="720" w:end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1080" w:leader="none"/>
        </w:tabs>
        <w:ind w:start="720" w:end="0"/>
        <w:rPr/>
      </w:pPr>
      <w:r>
        <w:rPr>
          <w:b/>
          <w:bCs/>
          <w:sz w:val="20"/>
          <w:szCs w:val="20"/>
        </w:rPr>
        <w:t>SAIF Corporation</w:t>
      </w:r>
      <w:r>
        <w:rPr>
          <w:sz w:val="20"/>
          <w:szCs w:val="20"/>
        </w:rPr>
        <w:t xml:space="preserve"> – Salem, OR</w:t>
      </w:r>
    </w:p>
    <w:p>
      <w:pPr>
        <w:pStyle w:val="Normal"/>
        <w:widowControl w:val="false"/>
        <w:tabs>
          <w:tab w:val="clear" w:pos="720"/>
          <w:tab w:val="left" w:pos="1080" w:leader="none"/>
        </w:tabs>
        <w:ind w:start="720" w:end="0"/>
        <w:rPr/>
      </w:pPr>
      <w:r>
        <w:rPr>
          <w:b/>
          <w:bCs/>
          <w:i/>
          <w:iCs/>
          <w:sz w:val="20"/>
          <w:szCs w:val="20"/>
        </w:rPr>
        <w:t>Risk Management – internship</w:t>
      </w:r>
      <w:r>
        <w:rPr>
          <w:sz w:val="20"/>
          <w:szCs w:val="20"/>
        </w:rPr>
        <w:t xml:space="preserve"> 1996-1997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0" w:leader="none"/>
          <w:tab w:val="left" w:pos="720" w:leader="none"/>
        </w:tabs>
        <w:ind w:hanging="720" w:start="1440" w:end="0"/>
        <w:rPr>
          <w:sz w:val="20"/>
          <w:szCs w:val="20"/>
        </w:rPr>
      </w:pPr>
      <w:r>
        <w:rPr>
          <w:sz w:val="20"/>
          <w:szCs w:val="20"/>
        </w:rPr>
        <w:t>Designed and conducted a comprehensive study of occupational stress as the initial phase in the organization’s long-term project to reduce stress-related claims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0" w:leader="none"/>
          <w:tab w:val="left" w:pos="720" w:leader="none"/>
        </w:tabs>
        <w:ind w:hanging="720" w:start="1440" w:end="0"/>
        <w:rPr>
          <w:sz w:val="20"/>
          <w:szCs w:val="20"/>
        </w:rPr>
      </w:pPr>
      <w:r>
        <w:rPr>
          <w:sz w:val="20"/>
          <w:szCs w:val="20"/>
        </w:rPr>
        <w:t>Analyzed workplace injury data on sophisticated computer programs to identify correlations between the types of injuries, occupations, and organizations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0" w:leader="none"/>
          <w:tab w:val="left" w:pos="720" w:leader="none"/>
        </w:tabs>
        <w:ind w:hanging="720" w:start="1440" w:end="0"/>
        <w:rPr>
          <w:sz w:val="20"/>
          <w:szCs w:val="20"/>
        </w:rPr>
      </w:pPr>
      <w:r>
        <w:rPr>
          <w:sz w:val="20"/>
          <w:szCs w:val="20"/>
        </w:rPr>
        <w:t>Prepared data presentations to assist state agencies in minimizing worker’s compensation and workplace risk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1080" w:leader="none"/>
        </w:tabs>
        <w:ind w:hanging="0" w:star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/>
        <w:rPr/>
      </w:pPr>
      <w:r>
        <w:rPr>
          <w:b/>
          <w:bCs/>
          <w:sz w:val="20"/>
          <w:szCs w:val="20"/>
        </w:rPr>
        <w:t xml:space="preserve">COMPUTER SKILLS: </w:t>
      </w:r>
      <w:r>
        <w:rPr>
          <w:sz w:val="20"/>
          <w:szCs w:val="20"/>
        </w:rPr>
        <w:tab/>
      </w:r>
    </w:p>
    <w:p>
      <w:pPr>
        <w:pStyle w:val="Normal"/>
        <w:widowControl w:val="false"/>
        <w:numPr>
          <w:ilvl w:val="0"/>
          <w:numId w:val="3"/>
        </w:numPr>
        <w:tabs>
          <w:tab w:val="left" w:pos="0" w:leader="none"/>
          <w:tab w:val="left" w:pos="720" w:leader="none"/>
        </w:tabs>
        <w:ind w:hanging="720" w:start="1440" w:end="0"/>
        <w:rPr>
          <w:sz w:val="20"/>
          <w:szCs w:val="20"/>
        </w:rPr>
      </w:pPr>
      <w:r>
        <w:rPr>
          <w:sz w:val="20"/>
          <w:szCs w:val="20"/>
        </w:rPr>
        <w:t>Excel and MS Office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0" w:leader="none"/>
          <w:tab w:val="left" w:pos="720" w:leader="none"/>
        </w:tabs>
        <w:ind w:hanging="720" w:start="1440" w:end="0"/>
        <w:rPr>
          <w:sz w:val="20"/>
          <w:szCs w:val="20"/>
        </w:rPr>
      </w:pPr>
      <w:r>
        <w:rPr>
          <w:sz w:val="20"/>
          <w:szCs w:val="20"/>
        </w:rPr>
        <w:t>SPSS, html, and graphics programs</w:t>
      </w:r>
    </w:p>
    <w:p>
      <w:pPr>
        <w:pStyle w:val="Normal"/>
        <w:widowControl w:val="false"/>
        <w:numPr>
          <w:ilvl w:val="0"/>
          <w:numId w:val="0"/>
        </w:numPr>
        <w:ind w:hanging="0" w:start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ind w:hanging="0" w:start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HONORS AND ACTIVITIES: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0" w:leader="none"/>
          <w:tab w:val="left" w:pos="720" w:leader="none"/>
        </w:tabs>
        <w:ind w:hanging="720" w:start="1440" w:end="0"/>
        <w:rPr>
          <w:sz w:val="20"/>
          <w:szCs w:val="20"/>
        </w:rPr>
      </w:pPr>
      <w:r>
        <w:rPr>
          <w:sz w:val="20"/>
          <w:szCs w:val="20"/>
        </w:rPr>
        <w:t>Dean’s List: Winter 2001, Fall 2000, Winter 2000, and Spring 1995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0" w:leader="none"/>
          <w:tab w:val="left" w:pos="720" w:leader="none"/>
        </w:tabs>
        <w:ind w:hanging="720" w:start="1440" w:end="0"/>
        <w:rPr/>
      </w:pPr>
      <w:r>
        <w:rPr>
          <w:sz w:val="20"/>
          <w:szCs w:val="20"/>
        </w:rPr>
        <w:t>2</w:t>
      </w:r>
      <w:r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place: 2001 “Quest for Adventure” Business Plan Competition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0" w:leader="none"/>
          <w:tab w:val="left" w:pos="720" w:leader="none"/>
        </w:tabs>
        <w:ind w:hanging="360" w:start="1440" w:end="0"/>
        <w:rPr>
          <w:sz w:val="20"/>
          <w:szCs w:val="20"/>
        </w:rPr>
      </w:pPr>
      <w:r>
        <w:rPr>
          <w:sz w:val="20"/>
          <w:szCs w:val="20"/>
        </w:rPr>
        <w:t>Mary L. Collins Scholarship, Willamette University, 1993</w:t>
      </w:r>
    </w:p>
    <w:sectPr>
      <w:type w:val="nextPage"/>
      <w:pgSz w:w="12240" w:h="15840"/>
      <w:pgMar w:left="1800" w:right="1800" w:gutter="0" w:header="0" w:top="900" w:footer="0" w:bottom="144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decimal"/>
      <w:lvlText w:val="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b/>
      <w:bCs/>
      <w:sz w:val="28"/>
      <w:szCs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widowControl w:val="false"/>
      <w:jc w:val="center"/>
    </w:pPr>
    <w:rPr>
      <w:b/>
      <w:bCs/>
      <w:sz w:val="20"/>
      <w:szCs w:val="20"/>
    </w:rPr>
  </w:style>
  <w:style w:type="paragraph" w:styleId="BodyText">
    <w:name w:val="Body Text"/>
    <w:basedOn w:val="Normal"/>
    <w:pPr>
      <w:widowControl w:val="false"/>
    </w:pPr>
    <w:rPr>
      <w:sz w:val="20"/>
      <w:szCs w:val="20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2001-05-21T19:12:00Z</dcterms:created>
  <dc:creator>Seth and Gwen Christensen</dc:creator>
  <dc:description/>
  <dc:language>en-CA</dc:language>
  <cp:lastModifiedBy>Seth and Gwen Christensen</cp:lastModifiedBy>
  <cp:lastPrinted>2001-02-01T23:35:00Z</cp:lastPrinted>
  <dcterms:modified xsi:type="dcterms:W3CDTF">2001-05-21T19:12:00Z</dcterms:modified>
  <cp:revision>2</cp:revision>
  <dc:subject/>
  <dc:title>Gwendolyn M</dc:title>
</cp:coreProperties>
</file>