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LA"/>
        <w:spacing w:before="0" w:after="0"/>
        <w:rPr/>
      </w:pPr>
      <w:r>
        <w:rPr/>
        <w:tab/>
        <w:tab/>
        <w:tab/>
        <w:tab/>
        <w:tab/>
        <w:tab/>
        <w:tab/>
        <w:tab/>
        <w:t>July __, 2000</w:t>
      </w:r>
    </w:p>
    <w:p>
      <w:pPr>
        <w:pStyle w:val="Normal"/>
        <w:rPr/>
      </w:pPr>
      <w:r>
        <w:rPr/>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538"/>
        <w:gridCol w:w="450"/>
        <w:gridCol w:w="5868"/>
      </w:tblGrid>
      <w:tr>
        <w:trPr/>
        <w:tc>
          <w:tcPr>
            <w:tcW w:w="2538" w:type="dxa"/>
            <w:tcBorders/>
          </w:tcPr>
          <w:p>
            <w:pPr>
              <w:pStyle w:val="Normal"/>
              <w:jc w:val="end"/>
              <w:rPr/>
            </w:pPr>
            <w:r>
              <w:rPr/>
              <w:t>MEMORANDUM TO:</w:t>
            </w:r>
          </w:p>
        </w:tc>
        <w:tc>
          <w:tcPr>
            <w:tcW w:w="450" w:type="dxa"/>
            <w:tcBorders/>
          </w:tcPr>
          <w:p>
            <w:pPr>
              <w:pStyle w:val="Normal"/>
              <w:snapToGrid w:val="false"/>
              <w:rPr/>
            </w:pPr>
            <w:r>
              <w:rPr/>
            </w:r>
          </w:p>
        </w:tc>
        <w:tc>
          <w:tcPr>
            <w:tcW w:w="5868" w:type="dxa"/>
            <w:tcBorders/>
          </w:tcPr>
          <w:p>
            <w:pPr>
              <w:pStyle w:val="Normal"/>
              <w:rPr/>
            </w:pPr>
            <w:r>
              <w:rPr/>
              <w:t>Alan Aronowitz, Esq.</w:t>
            </w:r>
          </w:p>
          <w:p>
            <w:pPr>
              <w:pStyle w:val="Normal"/>
              <w:rPr/>
            </w:pPr>
            <w:r>
              <w:rPr/>
              <w:t>Mark E. Taylor, Esq.</w:t>
            </w:r>
          </w:p>
          <w:p>
            <w:pPr>
              <w:pStyle w:val="Normal"/>
              <w:rPr/>
            </w:pPr>
            <w:r>
              <w:rPr/>
              <w:t>(Enron North America, Inc.)</w:t>
            </w:r>
          </w:p>
          <w:p>
            <w:pPr>
              <w:pStyle w:val="Normal"/>
              <w:rPr/>
            </w:pPr>
            <w:r>
              <w:rPr/>
            </w:r>
          </w:p>
        </w:tc>
      </w:tr>
      <w:tr>
        <w:trPr/>
        <w:tc>
          <w:tcPr>
            <w:tcW w:w="2538" w:type="dxa"/>
            <w:tcBorders/>
          </w:tcPr>
          <w:p>
            <w:pPr>
              <w:pStyle w:val="Normal"/>
              <w:jc w:val="end"/>
              <w:rPr/>
            </w:pPr>
            <w:r>
              <w:rPr/>
              <w:t>FROM:</w:t>
            </w:r>
          </w:p>
        </w:tc>
        <w:tc>
          <w:tcPr>
            <w:tcW w:w="450" w:type="dxa"/>
            <w:tcBorders/>
          </w:tcPr>
          <w:p>
            <w:pPr>
              <w:pStyle w:val="Normal"/>
              <w:snapToGrid w:val="false"/>
              <w:rPr/>
            </w:pPr>
            <w:r>
              <w:rPr/>
            </w:r>
          </w:p>
        </w:tc>
        <w:tc>
          <w:tcPr>
            <w:tcW w:w="5868" w:type="dxa"/>
            <w:tcBorders/>
          </w:tcPr>
          <w:p>
            <w:pPr>
              <w:pStyle w:val="Normal"/>
              <w:rPr/>
            </w:pPr>
            <w:r>
              <w:rPr/>
              <w:t>Erik D. Lindauer</w:t>
            </w:r>
          </w:p>
          <w:p>
            <w:pPr>
              <w:pStyle w:val="Normal"/>
              <w:rPr/>
            </w:pPr>
            <w:r>
              <w:rPr/>
              <w:t>David J. Gilberg</w:t>
            </w:r>
          </w:p>
          <w:p>
            <w:pPr>
              <w:pStyle w:val="Normal"/>
              <w:rPr/>
            </w:pPr>
            <w:r>
              <w:rPr/>
            </w:r>
          </w:p>
        </w:tc>
      </w:tr>
      <w:tr>
        <w:trPr/>
        <w:tc>
          <w:tcPr>
            <w:tcW w:w="2538" w:type="dxa"/>
            <w:tcBorders/>
          </w:tcPr>
          <w:p>
            <w:pPr>
              <w:pStyle w:val="Normal"/>
              <w:jc w:val="end"/>
              <w:rPr/>
            </w:pPr>
            <w:r>
              <w:rPr/>
              <w:t>RE:</w:t>
            </w:r>
          </w:p>
        </w:tc>
        <w:tc>
          <w:tcPr>
            <w:tcW w:w="450" w:type="dxa"/>
            <w:tcBorders/>
          </w:tcPr>
          <w:p>
            <w:pPr>
              <w:pStyle w:val="Normal"/>
              <w:snapToGrid w:val="false"/>
              <w:rPr/>
            </w:pPr>
            <w:r>
              <w:rPr/>
            </w:r>
          </w:p>
        </w:tc>
        <w:tc>
          <w:tcPr>
            <w:tcW w:w="5868" w:type="dxa"/>
            <w:tcBorders/>
          </w:tcPr>
          <w:p>
            <w:pPr>
              <w:pStyle w:val="Normal"/>
              <w:rPr>
                <w:u w:val="single"/>
              </w:rPr>
            </w:pPr>
            <w:r>
              <w:rPr>
                <w:u w:val="single"/>
              </w:rPr>
              <w:t>Confirmation Issues</w:t>
            </w:r>
          </w:p>
          <w:p>
            <w:pPr>
              <w:pStyle w:val="Normal"/>
              <w:rPr>
                <w:u w:val="single"/>
              </w:rPr>
            </w:pPr>
            <w:r>
              <w:rPr>
                <w:u w:val="single"/>
              </w:rPr>
            </w:r>
          </w:p>
        </w:tc>
      </w:tr>
    </w:tbl>
    <w:p>
      <w:pPr>
        <w:pStyle w:val="Normal"/>
        <w:rPr/>
      </w:pPr>
      <w:r>
        <w:rPr/>
      </w:r>
    </w:p>
    <w:p>
      <w:pPr>
        <w:pStyle w:val="Normal"/>
        <w:tabs>
          <w:tab w:val="clear" w:pos="720"/>
          <w:tab w:val="left" w:pos="1440" w:leader="none"/>
        </w:tabs>
        <w:spacing w:lineRule="auto" w:line="480"/>
        <w:ind w:firstLine="720" w:start="90" w:end="0"/>
        <w:rPr/>
      </w:pPr>
      <w:r>
        <w:rPr/>
        <w:tab/>
        <w:t>This memorandum summarizes our analysis of certain issues we have discussed regarding the practices of Enron North America, Inc., and its affiliates (collectively, “Enron”) in confirming transactions entered into with their counterparties.  In particular, you have requested our views on the question of whether the enforceability of transactions entered into by Enron with its counterparties under the circumstances described below will be affected if Enron does not issue and forward to its counterparties written confirmations of such transactions, in a manner consistent with its current practice, but instead either dispenses with confirmations entirely or provides counterparties with electronic notices, or other forms of notices, of the execution of transactions.</w:t>
      </w:r>
    </w:p>
    <w:p>
      <w:pPr>
        <w:pStyle w:val="Normal"/>
        <w:tabs>
          <w:tab w:val="clear" w:pos="720"/>
          <w:tab w:val="left" w:pos="1440" w:leader="none"/>
        </w:tabs>
        <w:spacing w:lineRule="auto" w:line="480"/>
        <w:ind w:firstLine="720" w:start="90" w:end="0"/>
        <w:rPr/>
      </w:pPr>
      <w:r>
        <w:rPr/>
        <w:tab/>
        <w:t>This issue has arisen in part as a result of the enactment of the “Electronic Signatures in Global and National Commerce Act” (the “Act”), which will become effective on October 1, 2000.  The Act will establish national standards governing the validity of electronic signatures, contracts and records and will treat electronic signatures as the legal equivalent of manual signatures.  As discussed below, after the effective date of the Act, Enron will be able to rely to a greater extent on the enforceability of Transactions effected electronically, without the issuance of a separate paper confirmation.  Prior to October 1, 2000, however, the enforceability of such Transactions will continue to be construed under applicable contract law.</w:t>
      </w:r>
    </w:p>
    <w:p>
      <w:pPr>
        <w:pStyle w:val="Normal"/>
        <w:numPr>
          <w:ilvl w:val="0"/>
          <w:numId w:val="3"/>
        </w:numPr>
        <w:tabs>
          <w:tab w:val="clear" w:pos="720"/>
          <w:tab w:val="left" w:pos="1440" w:leader="none"/>
        </w:tabs>
        <w:spacing w:lineRule="auto" w:line="480"/>
        <w:rPr/>
      </w:pPr>
      <w:r>
        <w:rPr>
          <w:u w:val="single"/>
        </w:rPr>
        <w:t>Background</w:t>
      </w:r>
      <w:r>
        <w:rPr/>
        <w:t>.</w:t>
      </w:r>
    </w:p>
    <w:p>
      <w:pPr>
        <w:pStyle w:val="Normal"/>
        <w:tabs>
          <w:tab w:val="clear" w:pos="720"/>
          <w:tab w:val="left" w:pos="1440" w:leader="none"/>
        </w:tabs>
        <w:spacing w:lineRule="auto" w:line="480"/>
        <w:ind w:firstLine="720" w:start="90" w:end="0"/>
        <w:rPr/>
      </w:pPr>
      <w:r>
        <w:rPr/>
        <w:tab/>
        <w:t>Set forth below is a summary of our understanding of Enron ‘s current practices with respect to the issuance of confirmations and of the proposed changes to these practices.</w:t>
      </w:r>
    </w:p>
    <w:p>
      <w:pPr>
        <w:pStyle w:val="Normal"/>
        <w:tabs>
          <w:tab w:val="clear" w:pos="720"/>
          <w:tab w:val="left" w:pos="1440" w:leader="none"/>
        </w:tabs>
        <w:spacing w:lineRule="auto" w:line="480"/>
        <w:rPr/>
      </w:pPr>
      <w:r>
        <w:rPr/>
        <w:tab/>
        <w:t>A.</w:t>
        <w:tab/>
      </w:r>
      <w:r>
        <w:rPr>
          <w:u w:val="single"/>
        </w:rPr>
        <w:t>Current Trading and Confirmation Practices</w:t>
      </w:r>
      <w:r>
        <w:rPr/>
        <w:t>.</w:t>
      </w:r>
      <w:r>
        <w:rPr>
          <w:u w:val="single"/>
        </w:rPr>
        <w:t xml:space="preserve"> </w:t>
      </w:r>
    </w:p>
    <w:p>
      <w:pPr>
        <w:pStyle w:val="Normal"/>
        <w:tabs>
          <w:tab w:val="clear" w:pos="720"/>
          <w:tab w:val="left" w:pos="1440" w:leader="none"/>
        </w:tabs>
        <w:spacing w:lineRule="auto" w:line="480"/>
        <w:ind w:firstLine="720" w:start="90" w:end="0"/>
        <w:rPr/>
      </w:pPr>
      <w:r>
        <w:rPr/>
        <w:tab/>
        <w:t>We understand that the transactions entered into by Enron with its counterparties include (1) purchases and sales (on a spot or forward basis) of physical commodities, including but not limited to energy commodities, as well as physically settled options on such commodities (collectively, “Physical Transactions”), and (2) cash settled over-the-counter derivative instruments on such commodities, including swaps, options and combinations thereof (collectively, “Financial Transactions”; Physical and Financial Transactions being referred to collectively as “Transactions”).  Such Transactions may be entered into through telephone communications between Enron and its counterparties, or through “EnronOnline” (“EOL”), an electronic trading platform owned and operated by Enron for the purpose of enabling its counterparties to enter into Transactions with Enron electronically.  We also understand that Enron’s trading counterparties comprise a wide range of sophisticated commercial and institutional entities.</w:t>
      </w:r>
    </w:p>
    <w:p>
      <w:pPr>
        <w:pStyle w:val="Normal"/>
        <w:spacing w:lineRule="auto" w:line="480"/>
        <w:rPr/>
      </w:pPr>
      <w:r>
        <w:rPr/>
        <w:tab/>
        <w:tab/>
        <w:t>Enron has entered into Master Agreements with many, but not all, of its counterparties governing Transactions entered into with such counterparties, regardless of whether such Transactions are entered into through telephone communications or through EOL.  In addition, counterparties trading through EOL are required to execute a “Password Application” before they are granted access to EOL regardless of whether they have entered into Master Agreements with Enron.  The Password Application, which must be manually executed by a counterparty, sets out the terms and conditions governing the counterparty’s use of EOL and its trading relationship with Enron.  Pursuant to the Password Application, the counterparty agrees to be solely responsible for any and all actions taken with respect to EOL by means of the password (or passwords) assigned to that counterparty, and to be bound by any Transactions entered into by any person using the password(s).</w:t>
      </w:r>
    </w:p>
    <w:p>
      <w:pPr>
        <w:pStyle w:val="Normal"/>
        <w:spacing w:lineRule="auto" w:line="480"/>
        <w:rPr/>
      </w:pPr>
      <w:r>
        <w:rPr/>
        <w:tab/>
        <w:tab/>
        <w:t>The Password Application also states that the counterparty, by “clicking” on the appropriate space on EOL, will be deemed to have agreed to and be bound by the terms and conditions of an Electronic Trading Agreement (the “ETA”), which establishes additional terms governing the trading relationship between the counterparty and Enron and the counterparty’s use of EOL.  The ETA is an “on-line” agreement that is posted only on EOL and is agreed to only through a “click” procedure.  By signing the Password Application, the counterparty agrees to be bound by the ETA, any amendments to the ETA, and any other agreements included on the Service with respect to which the counterparty “clicks” on the appropriate spaces (thereby signifying its agreement to the terms), to the same extent as would be the case if the ETA and such amendments or other agreements were manually executed.  The ETA further states that Transactions executed through EOL will be governed by any procedures or terms and conditions posted on EOL with respect to such Transactions (including “General Terms and Conditions”, or “GTCs”, posted with respect to particular types of transactions).  The ETA also provides that Transactions entered into by a counterparty will be governed by any Master Agreement that the counterparty may have in place with Enron or, if no such master agreement is in place, by the applicable GTCs.</w:t>
      </w:r>
    </w:p>
    <w:p>
      <w:pPr>
        <w:pStyle w:val="Normal"/>
        <w:spacing w:lineRule="auto" w:line="480"/>
        <w:rPr/>
      </w:pPr>
      <w:r>
        <w:rPr/>
        <w:tab/>
        <w:tab/>
        <w:t xml:space="preserve">Transactions can be executed by the counterparty’s clicking on the designated spaces on EOL to select specific products, quantities and prices.  A counterparty’s ability to execute Transactions, however, is subject to certain “screening” procedures which, among other things, ensure that the counterparty is within its credit limits and is authorized to trade the product selected.  All Transactions entered into with a counterparty, regardless of whether they are entered into through EOL and regardless of whether they are governed by a Master Agreement, are currently confirmed through the transmission to the counterparty, by mail or telecopy, of a written confirmation.  [Enron also currently requires its counterparties to return signed copies of each such confirmation.]  [Is this currently the procedure?] </w:t>
      </w:r>
    </w:p>
    <w:p>
      <w:pPr>
        <w:pStyle w:val="Normal"/>
        <w:spacing w:lineRule="auto" w:line="480"/>
        <w:rPr/>
      </w:pPr>
      <w:r>
        <w:rPr/>
        <w:tab/>
        <w:tab/>
        <w:t>B.</w:t>
        <w:tab/>
      </w:r>
      <w:r>
        <w:rPr>
          <w:u w:val="single"/>
        </w:rPr>
        <w:t>Proposed Changes to Current Practice</w:t>
      </w:r>
      <w:r>
        <w:rPr/>
        <w:t>.</w:t>
      </w:r>
    </w:p>
    <w:p>
      <w:pPr>
        <w:pStyle w:val="Normal"/>
        <w:spacing w:lineRule="auto" w:line="480"/>
        <w:rPr/>
      </w:pPr>
      <w:r>
        <w:rPr/>
        <w:tab/>
        <w:tab/>
        <w:t>Enron is considering the elimination of the requirement that a confirmation of each Transaction be issued in paper form and sent to the counterparty by mail or telecopy.  Instead, Enron would, subject to compliance with legal and contractual requirements, either dispense with confirmations entirely or transmit to each counterparty, electronically, a notice of the execution of each Transaction (but not in the form of a formal confirmation).  Where a counterparty trades through EOL, Enron might transmit a notice of execution to the counterparty through EOL; alternatively, all executed Transactions will in any event be available in the counterparty’s Transaction summary, which will be accessible to the counterparty through EOL.  Set forth below is a summary of our analysis of these proposals.</w:t>
      </w:r>
    </w:p>
    <w:p>
      <w:pPr>
        <w:pStyle w:val="Normal"/>
        <w:spacing w:lineRule="auto" w:line="480"/>
        <w:ind w:firstLine="720" w:start="720" w:end="0"/>
        <w:rPr/>
      </w:pPr>
      <w:r>
        <w:rPr/>
        <w:t>2.</w:t>
        <w:tab/>
      </w:r>
      <w:r>
        <w:rPr>
          <w:u w:val="single"/>
        </w:rPr>
        <w:t>Current Law</w:t>
      </w:r>
      <w:r>
        <w:rPr/>
        <w:t>.</w:t>
      </w:r>
    </w:p>
    <w:p>
      <w:pPr>
        <w:pStyle w:val="Normal"/>
        <w:tabs>
          <w:tab w:val="clear" w:pos="720"/>
          <w:tab w:val="left" w:pos="1440" w:leader="none"/>
        </w:tabs>
        <w:spacing w:lineRule="auto" w:line="480"/>
        <w:ind w:firstLine="720" w:start="90" w:end="0"/>
        <w:rPr/>
      </w:pPr>
      <w:r>
        <w:rPr/>
        <w:tab/>
        <w:t>As noted, until the effective date of the Act, Transactions between Enron and its counterparties will continue to be governed by applicable contract law.  In this regard, we understand that Master Agreements entered into between Enron and U.S. counterparties are generally governed by New York law.  In addition, as noted, a counterparty trading with Enron through EOL is required to execute a Password Application, which, in the case of U.S. counterparties, is governed by New York law.  Moreover, by executing the Password Application, a counterparty agrees to be bound by the GTCs or other terms governing Transactions that are not subject to a Master Agreement between Enron and the counterparty.  We understand that certain of the GTCs state that Transactions subject to such GTCs will be governed by New York law.  Accordingly, Transactions with U.S. counterparties that are subject to Master Agreements, as well as Transactions with U.S. counterparties executed through EOL, will typically be subject to New York law by their terms.</w:t>
      </w:r>
    </w:p>
    <w:p>
      <w:pPr>
        <w:pStyle w:val="Normal"/>
        <w:tabs>
          <w:tab w:val="clear" w:pos="720"/>
          <w:tab w:val="left" w:pos="1440" w:leader="none"/>
        </w:tabs>
        <w:spacing w:lineRule="auto" w:line="480"/>
        <w:ind w:firstLine="720" w:start="90" w:end="0"/>
        <w:rPr/>
      </w:pPr>
      <w:r>
        <w:rPr/>
        <w:tab/>
        <w:t xml:space="preserve">A New York court will generally uphold the choice of New York law as the governing law in an agreement, provided that there is a reasonable relationship between the parties, or the subject matter of the Agreement, and New York.  </w:t>
      </w:r>
      <w:r>
        <w:rPr>
          <w:u w:val="single"/>
        </w:rPr>
        <w:t>See</w:t>
      </w:r>
      <w:r>
        <w:rPr/>
        <w:t xml:space="preserve"> </w:t>
      </w:r>
      <w:r>
        <w:rPr>
          <w:u w:val="single"/>
        </w:rPr>
        <w:t>e.g.</w:t>
      </w:r>
      <w:r>
        <w:rPr/>
        <w:t xml:space="preserve">, </w:t>
      </w:r>
      <w:r>
        <w:rPr>
          <w:u w:val="single"/>
        </w:rPr>
        <w:t>Marine Midland Bank, N.A.</w:t>
      </w:r>
      <w:r>
        <w:rPr/>
        <w:t xml:space="preserve"> v. </w:t>
      </w:r>
      <w:r>
        <w:rPr>
          <w:u w:val="single"/>
        </w:rPr>
        <w:t>United Missouri Bank, N.A.</w:t>
      </w:r>
      <w:r>
        <w:rPr/>
        <w:t>, 643 N.Y.S. 2d 528 (Sup. Ct. N.Y., 1</w:t>
      </w:r>
      <w:r>
        <w:rPr>
          <w:vertAlign w:val="superscript"/>
        </w:rPr>
        <w:t>st</w:t>
      </w:r>
      <w:r>
        <w:rPr/>
        <w:t xml:space="preserve"> Dept. 1996).  Moreover, even where there is no such New York nexus with the parties or the agreement, a New York court should enforce the parties’ choice of New York law if the Transaction at issue involves “in the aggregate not less than $250,000”.  N.Y.G.O.L., §5-1401.  The choice of New York law should therefore generally be upheld in a proceeding in a New York court, subject to these considerations.</w:t>
      </w:r>
    </w:p>
    <w:p>
      <w:pPr>
        <w:pStyle w:val="Normal"/>
        <w:tabs>
          <w:tab w:val="clear" w:pos="720"/>
          <w:tab w:val="left" w:pos="1440" w:leader="none"/>
        </w:tabs>
        <w:spacing w:lineRule="auto" w:line="480"/>
        <w:ind w:firstLine="720" w:start="90" w:end="0"/>
        <w:rPr/>
      </w:pPr>
      <w:r>
        <w:rPr/>
        <w:tab/>
        <w:t>However, a court located in a jurisdiction other than New York will not necessarily recognize this provision of the General Obligations Law and might decline to enforce the parties’ choice of law in the absence of a reasonable relationship of the parties or the Transaction with New York.  It is also possible that local law will establish a different standard for determining whether the parties’ choice of law should be honored.  Moreover, where there is no agreement governing a Transaction -- which may occur, for example, if Enron enters into a Transaction with a counterparty through telephone communications and there is no Master Agreement in place between the parties -- a court presented with a dispute regarding the Transaction will likely be free to determine the applicable law based on the choice of law principles established under its local law and the relevant facts and circumstances.  It is therefore difficult or impossible to ascertain definitively, as a general matter, whether New York law will apply to Transactions between Enron and those counterparties with no substantive relationship to New York.</w:t>
      </w:r>
    </w:p>
    <w:p>
      <w:pPr>
        <w:pStyle w:val="Normal"/>
        <w:tabs>
          <w:tab w:val="clear" w:pos="720"/>
          <w:tab w:val="left" w:pos="1440" w:leader="none"/>
        </w:tabs>
        <w:spacing w:lineRule="auto" w:line="480"/>
        <w:ind w:firstLine="720" w:start="90" w:end="0"/>
        <w:rPr/>
      </w:pPr>
      <w:r>
        <w:rPr/>
        <w:tab/>
        <w:t>If Enron and a counterparty have entered into a Master Agreement governed by New York law, and the parties’ choice of New York law is upheld, Enron will be required to comply with any confirmation requirements set forth in the Agreement.  Similarly, if the parties have not executed a Master Agreement, but the counterparty executes a Transaction through EOL, pursuant to the Password Application, ETA and applicable GTCs, Enron will be required to comply with any confirmation requirements set forth in such agreements.</w:t>
      </w:r>
    </w:p>
    <w:p>
      <w:pPr>
        <w:pStyle w:val="Normal"/>
        <w:tabs>
          <w:tab w:val="clear" w:pos="720"/>
          <w:tab w:val="left" w:pos="1440" w:leader="none"/>
        </w:tabs>
        <w:spacing w:lineRule="auto" w:line="480"/>
        <w:ind w:firstLine="720" w:start="90" w:end="0"/>
        <w:rPr/>
      </w:pPr>
      <w:r>
        <w:rPr/>
        <w:tab/>
        <w:t>Transactions governed by New York law will also be subject to the New York Statute of Frauds, which generally provides that certain types of contracts are not enforceable unless they are in writing and signed by the parties (or at least by the party to be charged).  Physical Transactions are governed by the Statute of Frauds set forth under Article 2 of the New York Uniform Commercial Code (“UCC”), assuming that the commodities that are the subject of the Transactions are within the definition of “goods” under the UCC.</w:t>
      </w:r>
      <w:r>
        <w:rPr>
          <w:rStyle w:val="FootnoteCharacters"/>
          <w:rStyle w:val="FootnoteReference"/>
          <w:rFonts w:eastAsia="Symbol" w:cs="Symbol" w:ascii="Symbol" w:hAnsi="Symbol"/>
        </w:rPr>
        <w:footnoteReference w:customMarkFollows="1" w:id="2"/>
        <w:t></w:t>
      </w:r>
      <w:r>
        <w:rPr/>
        <w:t xml:space="preserve">  Pursuant to the UCC Statute of Frauds, a contract for the sale of goods in an amount of $500 or more “is not enforceable by way of action or defense unless there is some writing sufficient to indicate that a contract for sale has been made between the parties and signed by the party against whom enforcement is sought . . .” UCC, §2-201(a).  However, such a contract entered into “[b]etween merchants”  will be enforceable “if within a reasonable time a writing in confirmation of the contract and sufficient against the sender is received and the party receiving it has reason to know its contents . . .”. UCC, §2-201(b).  </w:t>
      </w:r>
    </w:p>
    <w:p>
      <w:pPr>
        <w:pStyle w:val="Normal"/>
        <w:tabs>
          <w:tab w:val="clear" w:pos="720"/>
          <w:tab w:val="left" w:pos="1440" w:leader="none"/>
        </w:tabs>
        <w:spacing w:lineRule="auto" w:line="480"/>
        <w:ind w:firstLine="720" w:start="90" w:end="0"/>
        <w:rPr/>
      </w:pPr>
      <w:r>
        <w:rPr/>
        <w:tab/>
        <w:t xml:space="preserve">Financial Transactions are not subject to Article 2 of the UCC but are subject to the Statute of Frauds codified under the New York General Obligations Law, which states that a contract or agreement not to be performed within one year “is void, unless it or some note or memorandum thereof be in writing, and subscribed by the party to be charged therewith . . .”.  N.Y.G.O.L., §5-701a.  However, pursuant to an exception to the Statute of Frauds, “qualified financial contracts”, which are defined to include purchases or sales of commodities (including forward contracts) and most types of over-the-counter derivatives transactions (including those based on physical commodities) will not be rendered unenforceable by virtue of the Statute of Frauds if “there is sufficient evidence to indicate that a contract has been made”, or “the parties thereto, by means of a prior or subsequent written contract, have agreed to be bound by the terms of such qualified financial contract from the time they reach agreement (by telephone, by exchange of electronic messages, or otherwise) on those terms.”  N.Y.G.O.L. §5-701b.  The statute further defines “sufficient evidence” to include admissible evidence of electronic communications (including recorded telephone communications) or a written confirmation reflecting the material terms of the transaction if the confirmation is furnished to the party to be charged and the sender does not receive written objection to such terms on or before the third business day after the other party’s receipt of the confirmation. </w:t>
      </w:r>
    </w:p>
    <w:p>
      <w:pPr>
        <w:pStyle w:val="Normal"/>
        <w:tabs>
          <w:tab w:val="clear" w:pos="720"/>
          <w:tab w:val="left" w:pos="1440" w:leader="none"/>
        </w:tabs>
        <w:spacing w:lineRule="auto" w:line="480"/>
        <w:rPr/>
      </w:pPr>
      <w:r>
        <w:rPr/>
        <w:tab/>
        <w:t>In applying these considerations to the present circumstances, it is necessary to distinguish between those situations in which Enron transacts with counterparties by telephone or through EOL and those situations in which there are Master Agreements in place with the relevant counterparties versus those situations where no such Agreements have been entered into.  Each of these situations is discussed below.</w:t>
      </w:r>
    </w:p>
    <w:p>
      <w:pPr>
        <w:pStyle w:val="Normal"/>
        <w:tabs>
          <w:tab w:val="clear" w:pos="720"/>
          <w:tab w:val="left" w:pos="1440" w:leader="none"/>
        </w:tabs>
        <w:spacing w:lineRule="auto" w:line="480"/>
        <w:rPr/>
      </w:pPr>
      <w:r>
        <w:rPr/>
        <w:tab/>
        <w:t>A.</w:t>
        <w:tab/>
      </w:r>
      <w:r>
        <w:rPr>
          <w:u w:val="single"/>
        </w:rPr>
        <w:t>Telephone Transactions with Master Agreement</w:t>
      </w:r>
      <w:r>
        <w:rPr/>
        <w:t xml:space="preserve">. </w:t>
      </w:r>
    </w:p>
    <w:p>
      <w:pPr>
        <w:pStyle w:val="Normal"/>
        <w:tabs>
          <w:tab w:val="clear" w:pos="720"/>
          <w:tab w:val="left" w:pos="1440" w:leader="none"/>
        </w:tabs>
        <w:spacing w:lineRule="auto" w:line="480"/>
        <w:rPr/>
      </w:pPr>
      <w:r>
        <w:rPr/>
        <w:tab/>
        <w:t xml:space="preserve">Transactions that are governed by a Master Agreement generally should not be found to be unenforceable by virtue of the appropriate Statute of Frauds, provided that the Transactions are effected and documented in accordance with the applicable Master Agreement.  For example, if the parties have agreed in the Master Agreement that Transactions entered into and confirmed by Enron will be binding, provided that the confirmation is not objected to within a specified period of time, the Transaction should not be rendered unenforceable under the Statute of Frauds if these steps are completed.  In addition, if the Master Agreement makes Transactions binding and enforceable regardless of whether a confirmation is sent, Enron should not be required to deliver a confirmation.  However, it will still be necessary for Enron to prove the terms of any Transaction in the event of a dispute and, in the absence of some type of confirmation or notice having been sent to the counterparty, it may be difficult for Enron to satisfy this burden.   </w:t>
      </w:r>
      <w:r>
        <w:br w:type="page"/>
      </w:r>
    </w:p>
    <w:p>
      <w:pPr>
        <w:pStyle w:val="Normal"/>
        <w:tabs>
          <w:tab w:val="clear" w:pos="720"/>
          <w:tab w:val="left" w:pos="1440" w:leader="none"/>
        </w:tabs>
        <w:spacing w:lineRule="auto" w:line="480"/>
        <w:rPr/>
      </w:pPr>
      <w:r>
        <w:rPr/>
      </w:r>
    </w:p>
    <w:p>
      <w:pPr>
        <w:pStyle w:val="Normal"/>
        <w:tabs>
          <w:tab w:val="clear" w:pos="720"/>
          <w:tab w:val="left" w:pos="1440" w:leader="none"/>
        </w:tabs>
        <w:spacing w:lineRule="auto" w:line="480"/>
        <w:rPr/>
      </w:pPr>
      <w:r>
        <w:rPr/>
        <w:tab/>
        <w:t>B.</w:t>
        <w:tab/>
      </w:r>
      <w:r>
        <w:rPr>
          <w:u w:val="single"/>
        </w:rPr>
        <w:t>Telephone Transactions without Master Agreement</w:t>
      </w:r>
      <w:r>
        <w:rPr/>
        <w:t>.</w:t>
      </w:r>
    </w:p>
    <w:p>
      <w:pPr>
        <w:pStyle w:val="Normal"/>
        <w:tabs>
          <w:tab w:val="clear" w:pos="720"/>
          <w:tab w:val="left" w:pos="1440" w:leader="none"/>
        </w:tabs>
        <w:spacing w:lineRule="auto" w:line="480"/>
        <w:ind w:firstLine="720" w:start="90" w:end="0"/>
        <w:rPr/>
      </w:pPr>
      <w:r>
        <w:rPr/>
        <w:tab/>
        <w:t xml:space="preserve"> If there is no Master Agreement governing a Transaction, and the Transaction is not effected through EOL (</w:t>
      </w:r>
      <w:r>
        <w:rPr>
          <w:u w:val="single"/>
        </w:rPr>
        <w:t>e.g.</w:t>
      </w:r>
      <w:r>
        <w:rPr/>
        <w:t>, it is executed via telephone communications), the Transaction may be rendered unenforceable under the appropriate Statute of Frauds (</w:t>
      </w:r>
      <w:r>
        <w:rPr>
          <w:u w:val="single"/>
        </w:rPr>
        <w:t>e.g.</w:t>
      </w:r>
      <w:r>
        <w:rPr/>
        <w:t>, if it is not capable of being performed within one year), unless Enron issues a confirmation in accordance with the UCC or the General Obligations Law, as applicable.  However, if the counterparty is not located in New York, and has not consented to its Transactions being subject to New York law, there can be no assurance that New York law will govern Transactions with that counterparty.  If New York law is found not to be applicable, Enron will not be able to rely on the exemptions from the UCC and General Obligations Law to support the enforceability of the Transactions.</w:t>
      </w:r>
    </w:p>
    <w:p>
      <w:pPr>
        <w:pStyle w:val="Normal"/>
        <w:tabs>
          <w:tab w:val="clear" w:pos="720"/>
          <w:tab w:val="left" w:pos="1440" w:leader="none"/>
        </w:tabs>
        <w:spacing w:lineRule="auto" w:line="480"/>
        <w:ind w:firstLine="720" w:start="90" w:end="0"/>
        <w:rPr/>
      </w:pPr>
      <w:r>
        <w:rPr/>
        <w:tab/>
        <w:t>C.</w:t>
        <w:tab/>
      </w:r>
      <w:r>
        <w:rPr>
          <w:u w:val="single"/>
        </w:rPr>
        <w:t>EOL Transactions with Master Agreement</w:t>
      </w:r>
      <w:r>
        <w:rPr/>
        <w:t>.</w:t>
        <w:tab/>
      </w:r>
    </w:p>
    <w:p>
      <w:pPr>
        <w:pStyle w:val="Normal"/>
        <w:tabs>
          <w:tab w:val="clear" w:pos="720"/>
          <w:tab w:val="left" w:pos="1440" w:leader="none"/>
        </w:tabs>
        <w:spacing w:lineRule="auto" w:line="480"/>
        <w:ind w:firstLine="720" w:start="90" w:end="0"/>
        <w:rPr/>
      </w:pPr>
      <w:r>
        <w:rPr/>
        <w:tab/>
        <w:t>To the extent that a Transaction executed through EOL is subject to New York law, and Enron and its counterparty have entered into a Master Agreement governing the Transaction, the same considerations set forth above should be applicable and Enron will be subject to any confirmation requirements set forth in the relevant Master Agreement.  If the Master Agreement does not require delivery of a confirmation or does not require that the counterparty execute and return confirmations, the Transaction should be enforceable without a confirmation or without a counterparty signature, although the evidentiary issues raised above may make it prudent for Enron to deliver a confirmation or notice.  In addition, the applicable Statute of Frauds may require delivery of a confirmation.</w:t>
      </w:r>
    </w:p>
    <w:p>
      <w:pPr>
        <w:pStyle w:val="Normal"/>
        <w:tabs>
          <w:tab w:val="clear" w:pos="720"/>
          <w:tab w:val="left" w:pos="1440" w:leader="none"/>
        </w:tabs>
        <w:spacing w:lineRule="auto" w:line="480"/>
        <w:rPr/>
      </w:pPr>
      <w:r>
        <w:rPr/>
        <w:tab/>
        <w:t>D.</w:t>
        <w:tab/>
      </w:r>
      <w:r>
        <w:rPr>
          <w:u w:val="single"/>
        </w:rPr>
        <w:t>EOL Transactions without Master Agreement</w:t>
      </w:r>
      <w:r>
        <w:rPr/>
        <w:t>.</w:t>
      </w:r>
    </w:p>
    <w:p>
      <w:pPr>
        <w:pStyle w:val="Normal"/>
        <w:tabs>
          <w:tab w:val="clear" w:pos="720"/>
          <w:tab w:val="left" w:pos="1440" w:leader="none"/>
        </w:tabs>
        <w:spacing w:lineRule="auto" w:line="480"/>
        <w:ind w:firstLine="720" w:start="90" w:end="0"/>
        <w:rPr/>
      </w:pPr>
      <w:r>
        <w:rPr/>
        <w:tab/>
        <w:t>If no Master Agreement has been entered into with respect to a Transaction executed through EOL, it will be necessary for Enron to deliver a confirmation in order to comply with the applicable Statute of Frauds (although it should not be necessary for the counterparty to execute and return the confirmation).  In this regard, it may be argued that, regardless of whether a Master Agreement is in place, Enron need not deliver confirmations to a counterparty executing Transactions on EOL if it notifies the counterparty of the execution of the Transaction through EOL.  Neither the UCC nor the General Obligations Law specify the form or content of a confirmation, or the manner of delivery of a confirmation, issued under the provisions cited above.</w:t>
      </w:r>
      <w:r>
        <w:rPr>
          <w:rStyle w:val="FootnoteCharacters"/>
          <w:rStyle w:val="FootnoteReference"/>
          <w:rFonts w:eastAsia="Symbol" w:cs="Symbol" w:ascii="Symbol" w:hAnsi="Symbol"/>
        </w:rPr>
        <w:footnoteReference w:customMarkFollows="1" w:id="3"/>
        <w:t></w:t>
      </w:r>
      <w:r>
        <w:rPr/>
        <w:t xml:space="preserve">  Accordingly, provided that a notice transmitted through EOL contains sufficient information regarding the material terms of the Transaction to suffice as a confirmation, it should be possible for Enron to deliver such a notice through EOL rather than issuing a formal confirmation to the counterparty (subject, of course, to compliance with any requirements of an applicable Master Agreement).  It would be advisable, however, to style the notice as a “confirmation” in order to sustain the position that it satisfies the requirements of the Statute of Frauds, and to ensure that EOL is capable of generating and retrieving a record of the notice having been transmitted through EOL.     </w:t>
      </w:r>
    </w:p>
    <w:p>
      <w:pPr>
        <w:pStyle w:val="Normal"/>
        <w:tabs>
          <w:tab w:val="clear" w:pos="720"/>
          <w:tab w:val="left" w:pos="1440" w:leader="none"/>
        </w:tabs>
        <w:spacing w:lineRule="auto" w:line="480"/>
        <w:ind w:start="1440" w:end="0"/>
        <w:rPr/>
      </w:pPr>
      <w:r>
        <w:rPr/>
        <w:t>3.</w:t>
        <w:tab/>
      </w:r>
      <w:r>
        <w:rPr>
          <w:u w:val="single"/>
        </w:rPr>
        <w:t>Confirmation Practices Under the Act</w:t>
      </w:r>
      <w:r>
        <w:rPr/>
        <w:t>.</w:t>
      </w:r>
    </w:p>
    <w:p>
      <w:pPr>
        <w:pStyle w:val="BodyTextIndent"/>
        <w:spacing w:lineRule="auto" w:line="480" w:before="0" w:after="0"/>
        <w:rPr/>
      </w:pPr>
      <w:r>
        <w:rPr/>
        <w:tab/>
        <w:t>Pursuant to the Act, which will become effective on October 1, 2000, a signature, contract or record relating to a “transaction” may not be denied legal effect, validity or enforceability solely because it is in electronic form.  Under the Act, therefore, a transaction that is otherwise binding and enforceable cannot be rendered unenforceable solely on the basis of the fact that one or both parties have indicated their agreement through electronic means.  Moreover, the Act expressly applies “[n]otwithstanding any statute, regulation, or other rule of law” and a transaction that is otherwise enforceable cannot be rendered unenforceable under the applicable Statute of Frauds if it is entered into and executed electronically in accordance with the Act.  In fact, the Act specifically states that it does not apply to “a contract or other record to the extent it is governed by . . . the Uniform Commercial Code, as in effect in any State, other than sections 1-107 and 1-206 and Articles 2 and 2A”.</w:t>
      </w:r>
      <w:r>
        <w:rPr>
          <w:rStyle w:val="FootnoteCharacters"/>
        </w:rPr>
        <w:t xml:space="preserve"> </w:t>
      </w:r>
      <w:r>
        <w:rPr>
          <w:rStyle w:val="FootnoteCharacters"/>
          <w:rStyle w:val="FootnoteReference"/>
          <w:rFonts w:eastAsia="Symbol" w:cs="Symbol" w:ascii="Symbol" w:hAnsi="Symbol"/>
        </w:rPr>
        <w:footnoteReference w:customMarkFollows="1" w:id="4"/>
        <w:t></w:t>
      </w:r>
      <w:r>
        <w:rPr/>
        <w:t xml:space="preserve">  Act, §103(a)(3).</w:t>
      </w:r>
    </w:p>
    <w:p>
      <w:pPr>
        <w:pStyle w:val="Normal"/>
        <w:tabs>
          <w:tab w:val="clear" w:pos="720"/>
          <w:tab w:val="left" w:pos="1440" w:leader="none"/>
        </w:tabs>
        <w:spacing w:lineRule="auto" w:line="480"/>
        <w:ind w:firstLine="720" w:start="90" w:end="0"/>
        <w:rPr/>
      </w:pPr>
      <w:r>
        <w:rPr/>
        <w:tab/>
        <w:t xml:space="preserve">The Act will not affect Enron’s contractual obligations under a Master Agreement and Enron will, after the effective date of the Act, continue to be be required to deliver written confirmations in connection with Transactions executed through EOL if the Master Agreement obligates it to do so.  In contrast, where the Master Agreement does not require delivery of confirmations, or where no Master Agreement is in place, it should not be necessary for Enron to deliver confirmations to the counterparty in order to support the enforceability of the Transactions executed through EOL.  Under such circumstances, assuming that the counterparty’s “clicking” on the appropriate spaces on EOL to indicate its agreement to a Transaction satisfies the requirements of the Act regarding electronic signatures, the enforceability of such Transaction should not be jeopardized by this procedure.  Of course, as noted above, it will be necessary for Enron to prove that the counterparty provided an electronic signature by producing records confirming the counterparty’s “clicks”.  Provided that this burden can be satisfied, however, Transactions executed through EOL should not be rendered unenforceable solely because a confirmation is not issued or is not signed and returned by the counterparty.  </w:t>
      </w:r>
    </w:p>
    <w:p>
      <w:pPr>
        <w:pStyle w:val="Normal"/>
        <w:tabs>
          <w:tab w:val="clear" w:pos="720"/>
          <w:tab w:val="left" w:pos="1440" w:leader="none"/>
        </w:tabs>
        <w:spacing w:lineRule="auto" w:line="480"/>
        <w:ind w:firstLine="720" w:start="90" w:end="0"/>
        <w:rPr/>
      </w:pPr>
      <w:r>
        <w:rPr/>
        <w:tab/>
        <w:t>Further, because the Act is a federal statute and preempts state law, a Transaction that satisfies the requirements of the Act should not be rendered unenforceable even if the Transaction is found to be governed by the laws of a U.S. jurisdiction other than New York.  However, it is not clear that the Act will support the enforceability of Transactions entered into between Enron and non-U.S. counterparties.  In such an instance, the counterparty will have executed a Password Application and will have agreed to be bound by New York law.  Nevertheless, as noted above, while a New York court will generally uphold the choice of New York law by the parties to an agreement if there is a reasonably relationship with New York or the amount involved is in excess of $250,000, a court located outside of New York might not do so.  It is therefore possible that, to the extent a dispute over a Transaction is litigated outside of the United States, the court will conclude that local law does not require or permit it to honor the parties’ choice of New York law.  Under such circumstances, if the laws of the jurisdiction in which the court is located do not recognize electronic signatures as binding, the court could conclude that no enforceable Transaction was entered into.</w:t>
      </w:r>
    </w:p>
    <w:p>
      <w:pPr>
        <w:pStyle w:val="Normal"/>
        <w:tabs>
          <w:tab w:val="clear" w:pos="720"/>
          <w:tab w:val="left" w:pos="1440" w:leader="none"/>
        </w:tabs>
        <w:spacing w:lineRule="auto" w:line="480"/>
        <w:ind w:firstLine="720" w:start="90" w:end="0"/>
        <w:rPr/>
      </w:pPr>
      <w:r>
        <w:rPr/>
        <w:tab/>
        <w:t>In the absence of consultations with local counsel in each relevant jurisdiction, it is impossible to determine whether non-U.S. courts will uphold the parties’ choice of New York law.  In our experience, non-U.S. courts will generally enforce choice of law provisions if there is some reasonable relationship with the jurisdiction selected or, in some cases, another reasonable basis for selecting the laws of that jurisdiction (for example, in connection with industry standard master agreements).  Electronic signatures, however, are a relatively recent development and the laws of many, if not most, countries have not yet addressed their status.  Moreover, it is possible that the public policies of certain countries will require that agreements be executed manually.  In general, where sophisticated commercial parties agree upon a procedure for executing transactions, that procedure is followed and the laws of the jurisdiction selected by the parties recognizes electronic signatures, there would appear to be strong arguments in support of the enforceability of the resulting transactions.  Nevertheless, given the undeveloped state of the law in this area in most parts of the world, it is impossible to provide any assurances on this issue without consulting with local counsel.</w:t>
      </w:r>
    </w:p>
    <w:p>
      <w:pPr>
        <w:pStyle w:val="BodyTextIndent"/>
        <w:spacing w:lineRule="auto" w:line="480" w:before="0" w:after="0"/>
        <w:rPr/>
      </w:pPr>
      <w:r>
        <w:rPr/>
        <w:tab/>
        <w:t>Finally, the status of telephone communications as “electronic signatures” under the Act is unclear and, where Enron and a counterparty enter into Transactions through telephone communications, the Act might not be applicable.  The Act defines an “electronic signature as “an electronic sound, symbol, or process, attached to or logically associated with a contract or other record and executed or adopted by a person with the intent to sign the record”.  Act, §106(5).  It may be argued that a telephone communication is an “electronic sound”, and it is possible that such communications will be encompassed with the Act.  In this regard, there is one reference to voice communications constituting electronic signatures in the legislative history to the Act.  146 Cong. Rec. S5281-06.  However, this reference consists of an isolated statement by one member of Congress which is not entirely clear and may refer to voice-based technologies only. There is in any event no indication that Congress intended telephone communications to be covered by the statute and there can be no assurance that they would be found to satisfy the requirements of the Act.</w:t>
      </w:r>
    </w:p>
    <w:p>
      <w:pPr>
        <w:pStyle w:val="BodyTextIndent"/>
        <w:spacing w:lineRule="auto" w:line="480" w:before="0" w:after="0"/>
        <w:rPr/>
      </w:pPr>
      <w:r>
        <w:rPr/>
        <w:tab/>
        <w:t>We also note that the Act expressly states that “[a]n oral communication or a recording of an oral communication shall not qualify as an electronic record” for purposes of the consumer provisions of the Act.  Act, §101(c)(6).  Because this provision is not applicable to commercial transactions, it could be argued that telephone communications and recordings of such communications can qualify as electronic signatures in a commercial context.  However, there is no indication in the statute or the legislative history that Congress intended to reach this result and the issue is therefore at best unclear.</w:t>
      </w:r>
      <w:r>
        <w:rPr>
          <w:rStyle w:val="FootnoteCharacters"/>
          <w:rStyle w:val="FootnoteReference"/>
          <w:rFonts w:eastAsia="Symbol" w:cs="Symbol" w:ascii="Symbol" w:hAnsi="Symbol"/>
        </w:rPr>
        <w:footnoteReference w:customMarkFollows="1" w:id="5"/>
        <w:t></w:t>
      </w:r>
    </w:p>
    <w:p>
      <w:pPr>
        <w:pStyle w:val="BodyTextIndent"/>
        <w:spacing w:lineRule="auto" w:line="480" w:before="0" w:after="0"/>
        <w:rPr/>
      </w:pPr>
      <w:r>
        <w:rPr/>
        <w:tab/>
        <w:t>As a result, given the uncertainty regarding telephone communications, we believe it is prudent at this time to assume that they are not covered by the Act and that. Transactions entered into by telephone will remain subject to the considerations set forth in the first section of this memorandum, including the applicable Statutes of Frauds.  Accordingly, such Transactions may be rendered unenforceable unless Enron delivers confirmations in accordance with the exemptions from the Statutes of Frauds described above and it will therefore be necessary to deliver confirmations (although it should not be necessary for the counterparty to sign and return such confirmations).  Of course, in this instance as well, if the Transactions are governed by a Master Agreement, Enron and the counterparty will be obligated to comply with the confirmation requirements set forth in the Master Agreement.</w:t>
      </w:r>
    </w:p>
    <w:p>
      <w:pPr>
        <w:pStyle w:val="BodyTextIndent"/>
        <w:spacing w:lineRule="auto" w:line="480" w:before="0" w:after="0"/>
        <w:ind w:hanging="0" w:start="1440" w:end="0"/>
        <w:rPr/>
      </w:pPr>
      <w:r>
        <w:rPr/>
        <w:t>4.</w:t>
        <w:tab/>
      </w:r>
      <w:r>
        <w:rPr>
          <w:u w:val="single"/>
        </w:rPr>
        <w:t>Other Issues</w:t>
      </w:r>
      <w:r>
        <w:rPr/>
        <w:t>.</w:t>
      </w:r>
    </w:p>
    <w:p>
      <w:pPr>
        <w:pStyle w:val="BodyTextIndent"/>
        <w:spacing w:lineRule="auto" w:line="480" w:before="0" w:after="0"/>
        <w:rPr/>
      </w:pPr>
      <w:r>
        <w:rPr/>
        <w:tab/>
        <w:t>We have also discussed with you the question of whether it is necessary under the Act for both parties to a transaction to have the ability to store and retrieve electronic records regarding a transaction in order to support its enforceability, or whether it is sufficient if only one party has such capability.  This issue arises under Section 101(e) of the Act, which states that “the legal effect, validity or enforceability of an electronic record” of a transaction “may be denied if such electronic record is not in a form that is capable of being retained and accurately reproduced for later reference by all parties or persons who are entitled to retain the contract or other record.”  This provision could be construed to mean that a Transaction executed through EOL might not be enforceable, notwithstanding the effect of the statute, even if Enron can produce records demonstrating that the counterparty agreed to the Transaction electronically, if the counterparty is unable to do so.</w:t>
      </w:r>
    </w:p>
    <w:p>
      <w:pPr>
        <w:pStyle w:val="BodyTextIndent"/>
        <w:spacing w:lineRule="auto" w:line="480" w:before="0" w:after="0"/>
        <w:rPr/>
      </w:pPr>
      <w:r>
        <w:rPr/>
        <w:tab/>
        <w:t>In our view, however, Section 101(e) was intended only to ensure that each party to a transaction effected electronically would have the ability to obtain and store copies of the records of the transaction if it later needed to prove that it was entered into or determine the terms of the transaction.  We therefore read the clause “by all parties” to modify the words “later reference by”, rather than the words “capable of being retained and accurately reproduced”.  Viewed in this light, a Transaction executed through EOL should not be denied enforceability if the counterparty is not able to store and retrieve a record of the Transaction, provided that Enron is able to do so and to make such record available to the counterparty.  While we have not found any legislative history on this provision and we cannot assure you that a court would construe the provision in this manner, we believe that this is a reasonable interpretation of the Act.</w:t>
      </w:r>
    </w:p>
    <w:p>
      <w:pPr>
        <w:pStyle w:val="BodyTextIndent"/>
        <w:spacing w:lineRule="auto" w:line="480" w:before="0" w:after="0"/>
        <w:rPr/>
      </w:pPr>
      <w:r>
        <w:rPr/>
        <w:tab/>
        <w:t xml:space="preserve">The foregoing analyzes the issues you have raised only under New York law and, as noted, if New York law is not applicable to a particular transaction, the analysis could differ substantially.  In addition, this memorandum represents a summary of our analysis of these issues and of the consequences of Enron’s implementation of the proposal to eliminate confirmations in certain instances and obviously does not address all of the possible situations that might arise in connection with the issuance of </w:t>
      </w:r>
    </w:p>
    <w:p>
      <w:pPr>
        <w:pStyle w:val="BodyTextIndent"/>
        <w:spacing w:lineRule="auto" w:line="480" w:before="0" w:after="0"/>
        <w:ind w:hanging="0" w:end="0"/>
        <w:rPr/>
      </w:pPr>
      <w:r>
        <w:rPr/>
        <w:t>confirmations.  We would of course be pleased to provide further detail on any of these issues, or to address other circumstances that might arise in connection with Enron’s proposal on confirmations, if you would like us to do so.</w:t>
      </w:r>
    </w:p>
    <w:p>
      <w:pPr>
        <w:pStyle w:val="BodyTextIndent"/>
        <w:spacing w:before="0" w:after="0"/>
        <w:ind w:hanging="0" w:start="86" w:end="0"/>
        <w:rPr/>
      </w:pPr>
      <w:r>
        <w:rPr/>
        <w:tab/>
        <w:tab/>
        <w:tab/>
        <w:tab/>
        <w:tab/>
        <w:tab/>
        <w:tab/>
        <w:t>E.D.L.</w:t>
      </w:r>
    </w:p>
    <w:p>
      <w:pPr>
        <w:pStyle w:val="BodyTextIndent"/>
        <w:spacing w:before="0" w:after="0"/>
        <w:ind w:hanging="0" w:start="0" w:end="0"/>
        <w:rPr/>
      </w:pPr>
      <w:r>
        <w:rPr/>
        <w:tab/>
        <w:tab/>
        <w:tab/>
        <w:tab/>
        <w:tab/>
        <w:tab/>
        <w:tab/>
        <w:t>D.J.G.</w:t>
      </w:r>
    </w:p>
    <w:p>
      <w:pPr>
        <w:pStyle w:val="BodyTextIndent"/>
        <w:spacing w:before="0" w:after="240"/>
        <w:ind w:hanging="0" w:start="0" w:end="0"/>
        <w:rPr/>
      </w:pPr>
      <w:r>
        <w:rPr/>
        <w:tab/>
        <w:tab/>
        <w:tab/>
        <w:tab/>
        <w:tab/>
        <w:tab/>
      </w:r>
    </w:p>
    <w:sectPr>
      <w:headerReference w:type="default" r:id="rId2"/>
      <w:headerReference w:type="first" r:id="rId3"/>
      <w:footerReference w:type="default" r:id="rId4"/>
      <w:footerReference w:type="first" r:id="rId5"/>
      <w:footnotePr>
        <w:numFmt w:val="decimal"/>
      </w:footnotePr>
      <w:type w:val="nextPage"/>
      <w:pgSz w:w="12240" w:h="15840"/>
      <w:pgMar w:left="2160" w:right="1440" w:gutter="0" w:header="720" w:top="1915"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8"/>
      </w:rPr>
    </w:pPr>
    <w:r>
      <w:rPr>
        <w:sz w:val="18"/>
      </w:rPr>
      <w:t>NY12532:  282464</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8"/>
      </w:rPr>
    </w:pPr>
    <w:r>
      <w:rPr>
        <w:sz w:val="18"/>
      </w:rPr>
      <w:t>NY12532:  282572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b/>
        <w:t>“Goods” is defined under the UCC to mean “all things (including specially manufactured goods) which are movable at the time of identification to the contract for sale other than the money in which the price is to be paid, investment securities . . . and things in action”.  UCC, §2-105.  This definition would appear to cover physical energy commodities traded by Enron with its counterparties.</w:t>
      </w:r>
    </w:p>
  </w:footnote>
  <w:footnote w:id="3">
    <w:p>
      <w:pPr>
        <w:pStyle w:val="FootnoteText"/>
        <w:rPr/>
      </w:pPr>
      <w:r>
        <w:rPr>
          <w:rStyle w:val="FootnoteCharacters"/>
        </w:rPr>
        <w:t></w:t>
      </w:r>
      <w:r>
        <w:rPr/>
        <w:t xml:space="preserve"> </w:t>
      </w:r>
      <w:r>
        <w:rPr/>
        <w:tab/>
        <w:t xml:space="preserve">These same considerations, of course, apply equally to confirmations issued in connection with Transactions governed by a Master Agreement but executed through telephone communications. </w:t>
      </w:r>
    </w:p>
  </w:footnote>
  <w:footnote w:id="4">
    <w:p>
      <w:pPr>
        <w:pStyle w:val="FootnoteText"/>
        <w:rPr/>
      </w:pPr>
      <w:r>
        <w:rPr>
          <w:rStyle w:val="FootnoteCharacters"/>
        </w:rPr>
        <w:t></w:t>
      </w:r>
      <w:r>
        <w:rPr/>
        <w:t xml:space="preserve"> </w:t>
      </w:r>
      <w:r>
        <w:rPr/>
        <w:tab/>
        <w:t>We note that the Act imposes additional requirements on electronic transactions entered into with consumers.  These requirements are not addressed in this memorandum based on our understanding that Enron will not enter into consumer transactions.  If this understanding is not correct, it will be necessary to revisit this issue and to analyze Enron’s obligations with respect to consumers.</w:t>
      </w:r>
    </w:p>
  </w:footnote>
  <w:footnote w:id="5">
    <w:p>
      <w:pPr>
        <w:pStyle w:val="FootnoteText"/>
        <w:rPr/>
      </w:pPr>
      <w:r>
        <w:rPr>
          <w:rStyle w:val="FootnoteCharacters"/>
        </w:rPr>
        <w:t></w:t>
      </w:r>
      <w:r>
        <w:rPr/>
        <w:t xml:space="preserve"> </w:t>
      </w:r>
      <w:r>
        <w:rPr/>
        <w:tab/>
        <w:t xml:space="preserve">In contrast, the Statute of Frauds exemption included in the General Obligations Law, as noted, includes within the definition of “sufficient evidence” with respect to a contract “the recording of a telephone call”.  N.Y.G.O.L. §5-701b(3).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S&amp;C Draft of July 28, 2000</w:t>
    </w:r>
  </w:p>
  <w:p>
    <w:pPr>
      <w:pStyle w:val="Header"/>
      <w:jc w:val="end"/>
      <w:rPr>
        <w:sz w:val="20"/>
      </w:rPr>
    </w:pPr>
    <w:r>
      <w:rPr>
        <w:sz w:val="20"/>
      </w:rPr>
    </w:r>
  </w:p>
  <w:p>
    <w:pPr>
      <w:pStyle w:val="Header"/>
      <w:jc w:val="end"/>
      <w:rPr>
        <w:sz w:val="20"/>
      </w:rPr>
    </w:pPr>
    <w:r>
      <w:rPr>
        <w:sz w:val="20"/>
      </w:rPr>
    </w:r>
  </w:p>
  <w:p>
    <w:pPr>
      <w:pStyle w:val="Header"/>
      <w:rPr>
        <w:sz w:val="28"/>
      </w:rPr>
    </w:pPr>
    <w:r>
      <w:rPr>
        <w:sz w:val="28"/>
      </w:rPr>
      <w:t>SULLIVAN &amp; CROMWELL</w:t>
    </w:r>
  </w:p>
  <w:p>
    <w:pPr>
      <w:pStyle w:val="Header"/>
      <w:jc w:val="end"/>
      <w:rPr>
        <w:sz w:val="28"/>
      </w:rPr>
    </w:pPr>
    <w:r>
      <w:rPr>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lowerLetter"/>
      <w:lvlText w:val="%2)"/>
      <w:lvlJc w:val="start"/>
      <w:pPr>
        <w:tabs>
          <w:tab w:val="num" w:pos="720"/>
        </w:tabs>
        <w:ind w:start="720" w:hanging="360"/>
      </w:pPr>
      <w:rPr>
        <w:i w:val="false"/>
        <w:u w:val="non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1z1">
    <w:name w:val="WW8Num1z1"/>
    <w:qFormat/>
    <w:rPr>
      <w:b w:val="false"/>
      <w:i w:val="false"/>
      <w:u w:val="none"/>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numPr>
        <w:ilvl w:val="0"/>
        <w:numId w:val="2"/>
      </w:num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spacing w:before="0" w:after="240"/>
      <w:ind w:firstLine="720" w:start="9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2000-07-28T17:00:00Z</dcterms:created>
  <dc:creator>For Help Call PC Support, x4277</dc:creator>
  <dc:description/>
  <dc:language>en-CA</dc:language>
  <cp:lastModifiedBy>For Help Call PC Support x4277</cp:lastModifiedBy>
  <cp:lastPrinted>2000-07-28T15:22:00Z</cp:lastPrinted>
  <dcterms:modified xsi:type="dcterms:W3CDTF">2000-07-28T17:00:00Z</dcterms:modified>
  <cp:revision>2</cp:revision>
  <dc:subject/>
  <dc:title/>
</cp:coreProperties>
</file>