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t>October 11, 2001</w: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rPr/>
      </w:pPr>
      <w:r>
        <w:rPr>
          <w:lang w:val="en-CA"/>
        </w:rPr>
        <w:t>Sean</w:t>
      </w:r>
      <w:r>
        <w:rPr/>
        <w:t xml:space="preserve"> </w:t>
      </w:r>
      <w:r>
        <w:rPr>
          <w:lang w:val="en-CA"/>
        </w:rPr>
        <w:t>All</w:t>
      </w:r>
    </w:p>
    <w:p>
      <w:pPr>
        <w:pStyle w:val="Normal"/>
        <w:rPr>
          <w:lang w:val="en-CA"/>
        </w:rPr>
      </w:pPr>
      <w:r>
        <w:rPr>
          <w:lang w:val="en-CA"/>
        </w:rPr>
        <w:t>Vice President</w:t>
      </w:r>
    </w:p>
    <w:p>
      <w:pPr>
        <w:pStyle w:val="Normal"/>
        <w:rPr>
          <w:lang w:val="en-CA"/>
        </w:rPr>
      </w:pPr>
      <w:r>
        <w:rPr>
          <w:lang w:val="en-CA"/>
        </w:rPr>
        <w:t xml:space="preserve">Enron Energy Services, Inc. </w:t>
      </w:r>
    </w:p>
    <w:p>
      <w:pPr>
        <w:pStyle w:val="Normal"/>
        <w:rPr>
          <w:lang w:val="en-CA"/>
        </w:rPr>
      </w:pPr>
      <w:r>
        <w:rPr>
          <w:lang w:val="en-CA"/>
        </w:rPr>
        <w:t>1400 Smith St</w:t>
      </w:r>
    </w:p>
    <w:p>
      <w:pPr>
        <w:pStyle w:val="Normal"/>
        <w:rPr/>
      </w:pPr>
      <w:r>
        <w:rPr>
          <w:lang w:val="en-CA"/>
        </w:rPr>
        <w:t xml:space="preserve">Houston </w:t>
      </w:r>
      <w:r>
        <w:rPr/>
        <w:t xml:space="preserve">, </w:t>
      </w:r>
      <w:r>
        <w:rPr>
          <w:lang w:val="en-CA"/>
        </w:rPr>
        <w:t>TX</w:t>
      </w:r>
      <w:r>
        <w:rPr/>
        <w:t xml:space="preserve"> </w:t>
      </w:r>
      <w:r>
        <w:rPr>
          <w:lang w:val="en-CA"/>
        </w:rPr>
        <w:t>77002-7361</w:t>
      </w:r>
    </w:p>
    <w:p>
      <w:pPr>
        <w:pStyle w:val="Normal"/>
        <w:rPr/>
      </w:pPr>
      <w:r>
        <w:rPr/>
      </w:r>
    </w:p>
    <w:p>
      <w:pPr>
        <w:pStyle w:val="Normal"/>
        <w:rPr>
          <w:b/>
          <w:bCs/>
        </w:rPr>
      </w:pPr>
      <w:r>
        <w:rPr/>
        <w:t xml:space="preserve">Subject Matter: </w:t>
      </w:r>
      <w:r>
        <w:rPr>
          <w:b/>
          <w:bCs/>
          <w:u w:val="single"/>
        </w:rPr>
        <w:t>Energy Reconciliation Process Correction</w:t>
      </w:r>
    </w:p>
    <w:p>
      <w:pPr>
        <w:pStyle w:val="Normal"/>
        <w:rPr>
          <w:b/>
          <w:bCs/>
        </w:rPr>
      </w:pPr>
      <w:r>
        <w:rPr>
          <w:b/>
          <w:bCs/>
        </w:rPr>
      </w:r>
    </w:p>
    <w:p>
      <w:pPr>
        <w:pStyle w:val="Normal"/>
        <w:rPr/>
      </w:pPr>
      <w:r>
        <w:rPr/>
      </w:r>
    </w:p>
    <w:p>
      <w:pPr>
        <w:pStyle w:val="Normal"/>
        <w:rPr/>
      </w:pPr>
      <w:r>
        <w:rPr/>
        <w:t xml:space="preserve">Dear Mr. </w:t>
      </w:r>
      <w:r>
        <w:rPr>
          <w:lang w:val="en-CA"/>
        </w:rPr>
        <w:t>All</w:t>
      </w:r>
      <w:r>
        <w:rPr/>
        <w:t>:</w:t>
      </w:r>
    </w:p>
    <w:p>
      <w:pPr>
        <w:pStyle w:val="Normal"/>
        <w:rPr/>
      </w:pPr>
      <w:r>
        <w:rPr/>
      </w:r>
    </w:p>
    <w:p>
      <w:pPr>
        <w:pStyle w:val="Normal"/>
        <w:rPr/>
      </w:pPr>
      <w:r>
        <w:rPr>
          <w:color w:val="000000"/>
        </w:rPr>
        <w:t xml:space="preserve">PECO Energy’s Electric and Gas Choice organization recently discovered a software coding error in the process used to perform energy reconciliation between PECO Energy and Electric Generation Suppliers for the months January 2001 through April 2001.   We have corrected the coding error and have recalculated the Unaccounted-For-Energy (UFE) portion of energy reconciliation for the affected period.  As a result, our calculations show that an additional cash settlement is necessary between PECO Energy and </w:t>
      </w:r>
      <w:r>
        <w:rPr>
          <w:color w:val="000000"/>
          <w:lang w:val="en-CA"/>
        </w:rPr>
        <w:t xml:space="preserve">Enron Energy Services, Inc. </w:t>
      </w:r>
      <w:r>
        <w:rPr>
          <w:color w:val="000000"/>
        </w:rPr>
        <w:t xml:space="preserve">.  The additional charge to </w:t>
      </w:r>
      <w:r>
        <w:rPr>
          <w:color w:val="000000"/>
          <w:lang w:val="en-CA"/>
        </w:rPr>
        <w:t xml:space="preserve">Enron Energy Services, Inc. </w:t>
      </w:r>
      <w:r>
        <w:rPr>
          <w:color w:val="000000"/>
        </w:rPr>
        <w:t xml:space="preserve"> is $</w:t>
      </w:r>
      <w:r>
        <w:rPr>
          <w:color w:val="000000"/>
          <w:lang w:val="en-CA"/>
        </w:rPr>
        <w:t>1,618.74</w:t>
      </w:r>
      <w:r>
        <w:rPr>
          <w:color w:val="000000"/>
        </w:rPr>
        <w:t xml:space="preserve">.  Upon receiving your written consent, we propose to include this charge as a line item adjustment to your next PJM bill.  </w:t>
      </w:r>
    </w:p>
    <w:p>
      <w:pPr>
        <w:pStyle w:val="Normal"/>
        <w:rPr>
          <w:color w:val="000000"/>
        </w:rPr>
      </w:pPr>
      <w:r>
        <w:rPr>
          <w:color w:val="000000"/>
        </w:rPr>
      </w:r>
    </w:p>
    <w:p>
      <w:pPr>
        <w:pStyle w:val="Normal"/>
        <w:rPr>
          <w:color w:val="000000"/>
        </w:rPr>
      </w:pPr>
      <w:r>
        <w:rPr>
          <w:color w:val="000000"/>
        </w:rPr>
        <w:t>For your information, I have attached descriptions of the process for allocating UFE, the software-coding problem and PECO’s calculation for determining the net adjustment amount for the affected period.</w:t>
      </w:r>
    </w:p>
    <w:p>
      <w:pPr>
        <w:pStyle w:val="Normal"/>
        <w:rPr>
          <w:color w:val="000000"/>
        </w:rPr>
      </w:pPr>
      <w:r>
        <w:rPr>
          <w:color w:val="000000"/>
        </w:rPr>
      </w:r>
    </w:p>
    <w:p>
      <w:pPr>
        <w:pStyle w:val="BodyText"/>
        <w:rPr/>
      </w:pPr>
      <w:r>
        <w:rPr/>
        <w:t xml:space="preserve">If you would like to obtain additional details on how we calculated your adjustment amount, or would like to speak to me or another member of my team, please feel free to call us at </w:t>
      </w:r>
    </w:p>
    <w:p>
      <w:pPr>
        <w:pStyle w:val="BodyText"/>
        <w:rPr/>
      </w:pPr>
      <w:r>
        <w:rPr/>
        <w:t>215-841-4210.</w:t>
      </w:r>
    </w:p>
    <w:p>
      <w:pPr>
        <w:pStyle w:val="Normal"/>
        <w:rPr>
          <w:b/>
          <w:bCs/>
        </w:rPr>
      </w:pPr>
      <w:r>
        <w:rPr>
          <w:b/>
          <w:bCs/>
        </w:rPr>
      </w:r>
    </w:p>
    <w:p>
      <w:pPr>
        <w:pStyle w:val="Normal"/>
        <w:rPr>
          <w:color w:val="000000"/>
        </w:rPr>
      </w:pPr>
      <w:r>
        <w:rPr>
          <w:color w:val="000000"/>
        </w:rPr>
        <w:t>Please provide us with written consent to include this charge on your next PJM bill by signing Attachment A and returning it to PECO by mail or fax.</w:t>
      </w:r>
    </w:p>
    <w:p>
      <w:pPr>
        <w:pStyle w:val="Normal"/>
        <w:rPr>
          <w:color w:val="000000"/>
        </w:rPr>
      </w:pPr>
      <w:r>
        <w:rPr>
          <w:color w:val="000000"/>
        </w:rPr>
      </w:r>
    </w:p>
    <w:p>
      <w:pPr>
        <w:pStyle w:val="Normal"/>
        <w:rPr>
          <w:color w:val="000000"/>
        </w:rPr>
      </w:pPr>
      <w:r>
        <w:rPr>
          <w:color w:val="000000"/>
        </w:rPr>
        <w:t>I apologize for this inconvenience and would like to thank you in advance for your cooperation in this matter.</w:t>
      </w:r>
    </w:p>
    <w:p>
      <w:pPr>
        <w:pStyle w:val="Normal"/>
        <w:rPr/>
      </w:pPr>
      <w:r>
        <w:rPr/>
      </w:r>
    </w:p>
    <w:p>
      <w:pPr>
        <w:pStyle w:val="Normal"/>
        <w:rPr>
          <w:b/>
          <w:bCs/>
        </w:rPr>
      </w:pPr>
      <w:r>
        <w:rPr>
          <w:b/>
          <w:bCs/>
        </w:rPr>
      </w:r>
    </w:p>
    <w:p>
      <w:pPr>
        <w:pStyle w:val="Normal"/>
        <w:rPr>
          <w:b/>
          <w:bCs/>
        </w:rPr>
      </w:pPr>
      <w:r>
        <w:rPr>
          <w:b/>
          <w:bCs/>
        </w:rPr>
      </w:r>
    </w:p>
    <w:p>
      <w:pPr>
        <w:pStyle w:val="Normal"/>
        <w:rPr/>
      </w:pPr>
      <w:r>
        <w:rPr/>
      </w:r>
    </w:p>
    <w:p>
      <w:pPr>
        <w:pStyle w:val="Normal"/>
        <w:rPr/>
      </w:pPr>
      <w:r>
        <w:rPr/>
      </w:r>
    </w:p>
    <w:p>
      <w:pPr>
        <w:pStyle w:val="Normal"/>
        <w:jc w:val="end"/>
        <w:rPr/>
      </w:pPr>
      <w:r>
        <w:rPr/>
        <w:t>John McCawley</w:t>
      </w:r>
    </w:p>
    <w:p>
      <w:pPr>
        <w:pStyle w:val="Normal"/>
        <w:jc w:val="end"/>
        <w:rPr/>
      </w:pPr>
      <w:r>
        <w:rPr/>
        <w:t>Director, Electric and Gas Choice</w:t>
      </w:r>
    </w:p>
    <w:p>
      <w:pPr>
        <w:pStyle w:val="Normal"/>
        <w:jc w:val="end"/>
        <w:rPr/>
      </w:pPr>
      <w:r>
        <w:rPr/>
        <w:t>PECO Energy Company</w:t>
      </w:r>
    </w:p>
    <w:p>
      <w:pPr>
        <w:pStyle w:val="Normal"/>
        <w:rPr/>
      </w:pPr>
      <w:r>
        <w:rPr/>
      </w:r>
    </w:p>
    <w:p>
      <w:pPr>
        <w:pStyle w:val="Normal"/>
        <w:rPr/>
      </w:pPr>
      <w:r>
        <w:rPr/>
      </w:r>
    </w:p>
    <w:p>
      <w:pPr>
        <w:pStyle w:val="Normal"/>
        <w:rPr/>
      </w:pPr>
      <w:r>
        <w:rPr/>
      </w:r>
    </w:p>
    <w:p>
      <w:pPr>
        <w:pStyle w:val="Normal"/>
        <w:rPr/>
      </w:pPr>
      <w:r>
        <w:rPr/>
      </w:r>
    </w:p>
    <w:p>
      <w:pPr>
        <w:pStyle w:val="Heading1"/>
        <w:ind w:hanging="0" w:start="0"/>
        <w:rPr>
          <w:rFonts w:ascii="Arial" w:hAnsi="Arial" w:eastAsia="Arial" w:cs="Arial"/>
          <w:sz w:val="28"/>
          <w:szCs w:val="28"/>
        </w:rPr>
      </w:pPr>
      <w:r>
        <w:rPr>
          <w:rFonts w:eastAsia="Arial" w:cs="Arial" w:ascii="Arial" w:hAnsi="Arial"/>
          <w:sz w:val="28"/>
          <w:szCs w:val="28"/>
        </w:rPr>
        <w:t>Explanation</w:t>
      </w:r>
    </w:p>
    <w:p>
      <w:pPr>
        <w:pStyle w:val="Heading1"/>
        <w:ind w:hanging="0" w:start="0"/>
        <w:rPr>
          <w:rFonts w:ascii="Arial" w:hAnsi="Arial" w:eastAsia="Arial" w:cs="Arial"/>
          <w:b w:val="false"/>
          <w:bCs w:val="false"/>
          <w:sz w:val="24"/>
          <w:szCs w:val="24"/>
        </w:rPr>
      </w:pPr>
      <w:r>
        <w:rPr>
          <w:rFonts w:eastAsia="Arial" w:cs="Arial" w:ascii="Arial" w:hAnsi="Arial"/>
          <w:b w:val="false"/>
          <w:bCs w:val="false"/>
          <w:sz w:val="24"/>
          <w:szCs w:val="24"/>
        </w:rPr>
        <w:t xml:space="preserve">Energy Reconciliation Process/ </w:t>
      </w:r>
    </w:p>
    <w:p>
      <w:pPr>
        <w:pStyle w:val="Heading1"/>
        <w:ind w:hanging="0" w:start="0"/>
        <w:rPr>
          <w:rFonts w:ascii="Arial" w:hAnsi="Arial" w:eastAsia="Arial" w:cs="Arial"/>
          <w:sz w:val="24"/>
          <w:szCs w:val="24"/>
        </w:rPr>
      </w:pPr>
      <w:r>
        <w:rPr>
          <w:rFonts w:eastAsia="Arial" w:cs="Arial" w:ascii="Arial" w:hAnsi="Arial"/>
          <w:b w:val="false"/>
          <w:bCs w:val="false"/>
          <w:sz w:val="24"/>
          <w:szCs w:val="24"/>
        </w:rPr>
        <w:t>Allocating Unaccounted-For-Energy (“UFE”)</w:t>
      </w:r>
    </w:p>
    <w:p>
      <w:pPr>
        <w:pStyle w:val="Normal"/>
        <w:rPr>
          <w:rFonts w:ascii="Arial" w:hAnsi="Arial" w:eastAsia="Arial" w:cs="Arial"/>
          <w:sz w:val="24"/>
          <w:szCs w:val="24"/>
        </w:rPr>
      </w:pPr>
      <w:r>
        <w:rPr>
          <w:rFonts w:eastAsia="Arial" w:cs="Arial"/>
          <w:sz w:val="24"/>
          <w:szCs w:val="24"/>
        </w:rPr>
      </w:r>
    </w:p>
    <w:p>
      <w:pPr>
        <w:pStyle w:val="Normal"/>
        <w:rPr>
          <w:sz w:val="24"/>
          <w:szCs w:val="24"/>
        </w:rPr>
      </w:pPr>
      <w:r>
        <w:rPr>
          <w:sz w:val="24"/>
          <w:szCs w:val="24"/>
        </w:rPr>
        <w:tab/>
        <w:t>Energy reconciliation is the process for adjusting electric generation supplier (EGS) energy delivery schedules to account for differences between forecasted customer energy use and the customer’s actual metered energy use. All such adjustments are cashed out as part of each supplier’s monthly PJM bill, using PJM’s hourly locational marginal price (LMP) for energy for the PECO zone.</w:t>
      </w:r>
    </w:p>
    <w:p>
      <w:pPr>
        <w:pStyle w:val="Normal"/>
        <w:rPr>
          <w:sz w:val="24"/>
          <w:szCs w:val="24"/>
        </w:rPr>
      </w:pPr>
      <w:r>
        <w:rPr>
          <w:sz w:val="24"/>
          <w:szCs w:val="24"/>
        </w:rPr>
      </w:r>
    </w:p>
    <w:p>
      <w:pPr>
        <w:pStyle w:val="Normal"/>
        <w:rPr>
          <w:sz w:val="24"/>
          <w:szCs w:val="24"/>
        </w:rPr>
      </w:pPr>
      <w:r>
        <w:rPr>
          <w:sz w:val="24"/>
          <w:szCs w:val="24"/>
        </w:rPr>
        <w:tab/>
        <w:t xml:space="preserve">PECO’s reconciliation process includes reconciliation calculations for all of the approximately 1.5 million retail customers in the PECO zone, regardless of their EGS.  We use actual customer energy use to calculate a “bottom-up” PECO territory load shape for each hour of a month. This “bottom-up” load shape is compared with the aggregate hourly PECO system load shape.  The aggregate hourly system load shape is determined by adding net power imports plus 500 KV losses to generation inside the territory. The difference between the “bottom-up” and the aggregate system load shape in any hour is called the Unaccounted-For-Energy (UFE) for that hour.  If for any hour UFE (system load minus “bottom-up” load) is positive, then the “bottom-up” calculation has understated actual customer energy use in that hour. Conversely, if the UFE for an hour is negative, then the “bottom-up” calculation has overstated the actual customer energy use.  Accordingly, positive UFE results in a charge to EGSs, negative UFE a credit. </w:t>
      </w:r>
    </w:p>
    <w:p>
      <w:pPr>
        <w:pStyle w:val="Normal"/>
        <w:rPr>
          <w:sz w:val="24"/>
          <w:szCs w:val="24"/>
        </w:rPr>
      </w:pPr>
      <w:r>
        <w:rPr>
          <w:sz w:val="24"/>
          <w:szCs w:val="24"/>
        </w:rPr>
      </w:r>
    </w:p>
    <w:p>
      <w:pPr>
        <w:pStyle w:val="Normal"/>
        <w:rPr/>
      </w:pPr>
      <w:r>
        <w:rPr>
          <w:sz w:val="24"/>
          <w:szCs w:val="24"/>
        </w:rPr>
        <w:t>PECO has developed this enhanced reconciliation process, which became effective January 2001, because we recognize that mismatches between forecasted and actual usage can affect an EGS’ final energy purchase costs (because the PECO zonal LMP changes each hour).  As enhanced, PECO’s reconciliation process comports with those employed by other PJM customer choice utilities.  The UFE calculated for each hour of the month is allocated on an hourly pro-rata basis to all</w:t>
      </w:r>
      <w:r>
        <w:rPr>
          <w:b/>
          <w:bCs/>
          <w:sz w:val="24"/>
          <w:szCs w:val="24"/>
        </w:rPr>
        <w:t xml:space="preserve"> </w:t>
      </w:r>
      <w:r>
        <w:rPr>
          <w:sz w:val="24"/>
          <w:szCs w:val="24"/>
        </w:rPr>
        <w:t>monthly-metered customer’s energy usage (both PECO PLR customers and EGS-supplied customers). The energy use pattern of customers with hourly interval meters, however, is measured directly for use in the reconciliation process and does not receive a UFE allocation.   The hourly UFE allocation adjusts each EGS’ reconciliation energy volume, and improves the assignment of reconciliation energy to those hours where customers actually consumed energy, rather than relying solely on the monthly profile load shapes from the strata tables.  The formula for the pro rata allocation of UFE in any hour is: EGS UFE = (EGS’ energy for monthly metered customers / sum of all monthly metered customer’s energy) X System UFE.</w:t>
      </w:r>
    </w:p>
    <w:p>
      <w:pPr>
        <w:pStyle w:val="Normal"/>
        <w:ind w:firstLine="720" w:end="0"/>
        <w:rPr>
          <w:sz w:val="24"/>
          <w:szCs w:val="24"/>
        </w:rPr>
      </w:pPr>
      <w:r>
        <w:rPr>
          <w:sz w:val="24"/>
          <w:szCs w:val="24"/>
        </w:rPr>
      </w:r>
    </w:p>
    <w:p>
      <w:pPr>
        <w:pStyle w:val="Heading1"/>
        <w:ind w:hanging="0" w:start="0"/>
        <w:rPr>
          <w:rFonts w:ascii="Arial" w:hAnsi="Arial" w:eastAsia="Arial" w:cs="Arial"/>
          <w:sz w:val="28"/>
          <w:szCs w:val="28"/>
        </w:rPr>
      </w:pPr>
      <w:r>
        <w:rPr>
          <w:rFonts w:eastAsia="Arial" w:cs="Arial" w:ascii="Arial" w:hAnsi="Arial"/>
          <w:sz w:val="28"/>
          <w:szCs w:val="28"/>
        </w:rPr>
        <w:t>Problem</w:t>
      </w:r>
    </w:p>
    <w:p>
      <w:pPr>
        <w:pStyle w:val="Heading1"/>
        <w:ind w:hanging="0" w:start="0"/>
        <w:rPr>
          <w:rFonts w:ascii="Arial" w:hAnsi="Arial" w:eastAsia="Arial" w:cs="Arial"/>
          <w:b w:val="false"/>
          <w:bCs w:val="false"/>
          <w:sz w:val="24"/>
          <w:szCs w:val="24"/>
        </w:rPr>
      </w:pPr>
      <w:r>
        <w:rPr>
          <w:rFonts w:eastAsia="Arial" w:cs="Arial" w:ascii="Arial" w:hAnsi="Arial"/>
          <w:b w:val="false"/>
          <w:bCs w:val="false"/>
          <w:sz w:val="24"/>
          <w:szCs w:val="24"/>
        </w:rPr>
        <w:t>January – April 2001 Reconciliation</w:t>
      </w:r>
    </w:p>
    <w:p>
      <w:pPr>
        <w:pStyle w:val="Heading1"/>
        <w:ind w:hanging="0" w:start="0"/>
        <w:rPr>
          <w:rFonts w:ascii="Arial" w:hAnsi="Arial" w:eastAsia="Arial" w:cs="Arial"/>
          <w:sz w:val="24"/>
          <w:szCs w:val="24"/>
        </w:rPr>
      </w:pPr>
      <w:r>
        <w:rPr>
          <w:rFonts w:eastAsia="Arial" w:cs="Arial" w:ascii="Arial" w:hAnsi="Arial"/>
          <w:b w:val="false"/>
          <w:bCs w:val="false"/>
          <w:sz w:val="24"/>
          <w:szCs w:val="24"/>
        </w:rPr>
        <w:t>Allocating Unaccounted-For-Energy (UFE)</w:t>
      </w:r>
    </w:p>
    <w:p>
      <w:pPr>
        <w:pStyle w:val="Normal"/>
        <w:rPr>
          <w:rFonts w:ascii="Arial" w:hAnsi="Arial" w:eastAsia="Arial" w:cs="Arial"/>
          <w:sz w:val="24"/>
          <w:szCs w:val="24"/>
        </w:rPr>
      </w:pPr>
      <w:r>
        <w:rPr>
          <w:rFonts w:eastAsia="Arial" w:cs="Arial"/>
          <w:sz w:val="24"/>
          <w:szCs w:val="24"/>
        </w:rPr>
      </w:r>
    </w:p>
    <w:p>
      <w:pPr>
        <w:pStyle w:val="BodyText2"/>
        <w:rPr>
          <w:rFonts w:ascii="Arial" w:hAnsi="Arial" w:eastAsia="Arial" w:cs="Arial"/>
        </w:rPr>
      </w:pPr>
      <w:r>
        <w:rPr>
          <w:rFonts w:eastAsia="Arial" w:cs="Arial" w:ascii="Arial" w:hAnsi="Arial"/>
        </w:rPr>
        <w:t>During a recent review of actual PECO zone load results for the previous winter period, we discovered an error in the way in which load was being used to calculate UFE in the energy reconciliation process.  Because of software coding problem, for the months January 2001 through April 2001, a forecast, rather than an actual, PECO zone load was copied into the actual PECO zone load table.  Because of this, an incorrect PECO zone load amount was used in the UFE calculation for that January - April period.</w:t>
      </w:r>
    </w:p>
    <w:p>
      <w:pPr>
        <w:pStyle w:val="BodyText2"/>
        <w:rPr>
          <w:rFonts w:ascii="Arial" w:hAnsi="Arial" w:eastAsia="Arial" w:cs="Arial"/>
        </w:rPr>
      </w:pPr>
      <w:r>
        <w:rPr>
          <w:rFonts w:eastAsia="Arial" w:cs="Arial" w:ascii="Arial" w:hAnsi="Arial"/>
        </w:rPr>
      </w:r>
    </w:p>
    <w:p>
      <w:pPr>
        <w:pStyle w:val="BodyText2"/>
        <w:rPr>
          <w:rFonts w:ascii="Arial" w:hAnsi="Arial" w:eastAsia="Arial" w:cs="Arial"/>
        </w:rPr>
      </w:pPr>
      <w:r>
        <w:rPr>
          <w:rFonts w:eastAsia="Arial" w:cs="Arial" w:ascii="Arial" w:hAnsi="Arial"/>
        </w:rPr>
        <w:t>During our review, we also determined that software changes implemented in May 2001 had eliminated the coding error.  Accordingly, beginning in May 2001, UFE calculations were correct.</w:t>
      </w:r>
    </w:p>
    <w:p>
      <w:pPr>
        <w:pStyle w:val="Normal"/>
        <w:rPr>
          <w:rFonts w:ascii="Arial" w:hAnsi="Arial" w:eastAsia="Arial" w:cs="Arial"/>
          <w:sz w:val="24"/>
          <w:szCs w:val="24"/>
        </w:rPr>
      </w:pPr>
      <w:r>
        <w:rPr>
          <w:rFonts w:eastAsia="Arial" w:cs="Arial"/>
          <w:sz w:val="24"/>
          <w:szCs w:val="24"/>
        </w:rPr>
      </w:r>
    </w:p>
    <w:p>
      <w:pPr>
        <w:pStyle w:val="Normal"/>
        <w:tabs>
          <w:tab w:val="left" w:pos="720" w:leader="none"/>
        </w:tabs>
        <w:ind w:start="360" w:end="0"/>
        <w:rPr>
          <w:sz w:val="24"/>
          <w:szCs w:val="24"/>
        </w:rPr>
      </w:pPr>
      <w:r>
        <w:rPr>
          <w:sz w:val="24"/>
          <w:szCs w:val="24"/>
        </w:rPr>
        <w:t>Any electric generation supplier (“EGS”) that had monthly-metered customer usage in the months January 2001 through April 2001 is affected by the incorrect allocation of UFE.</w:t>
      </w:r>
    </w:p>
    <w:p>
      <w:pPr>
        <w:pStyle w:val="Normal"/>
        <w:rPr>
          <w:sz w:val="24"/>
          <w:szCs w:val="24"/>
        </w:rPr>
      </w:pPr>
      <w:r>
        <w:rPr>
          <w:sz w:val="24"/>
          <w:szCs w:val="24"/>
        </w:rPr>
      </w:r>
    </w:p>
    <w:p>
      <w:pPr>
        <w:pStyle w:val="Normal"/>
        <w:tabs>
          <w:tab w:val="left" w:pos="720" w:leader="none"/>
        </w:tabs>
        <w:ind w:start="360" w:end="0"/>
        <w:rPr/>
      </w:pPr>
      <w:r>
        <w:rPr>
          <w:sz w:val="24"/>
          <w:szCs w:val="24"/>
        </w:rPr>
        <w:t xml:space="preserve">To determine the net adjustment amount for the entire January - April period affected by the software-coding problem, the UFE was recalculated and reallocated to EGSs with monthly-metered customers, using the correct, actual PECO zone loads. Customer usage </w:t>
      </w:r>
      <w:r>
        <w:rPr>
          <w:b/>
          <w:bCs/>
          <w:sz w:val="24"/>
          <w:szCs w:val="24"/>
          <w:u w:val="single"/>
        </w:rPr>
        <w:t>was not</w:t>
      </w:r>
      <w:r>
        <w:rPr>
          <w:sz w:val="24"/>
          <w:szCs w:val="24"/>
        </w:rPr>
        <w:t xml:space="preserve"> recalculated for the periods.  The EGS’ net adjustment was calculated as follows:</w:t>
      </w:r>
    </w:p>
    <w:p>
      <w:pPr>
        <w:pStyle w:val="Normal"/>
        <w:rPr>
          <w:sz w:val="24"/>
          <w:szCs w:val="24"/>
        </w:rPr>
      </w:pPr>
      <w:r>
        <w:rPr>
          <w:sz w:val="24"/>
          <w:szCs w:val="24"/>
        </w:rPr>
      </w:r>
    </w:p>
    <w:p>
      <w:pPr>
        <w:pStyle w:val="Normal"/>
        <w:ind w:start="360" w:end="0"/>
        <w:rPr/>
      </w:pPr>
      <w:r>
        <w:rPr>
          <w:sz w:val="24"/>
          <w:szCs w:val="24"/>
        </w:rPr>
        <w:t xml:space="preserve">Charge / </w:t>
      </w:r>
      <w:r>
        <w:rPr>
          <w:i/>
          <w:iCs/>
          <w:sz w:val="24"/>
          <w:szCs w:val="24"/>
        </w:rPr>
        <w:t>(Credit if negative)</w:t>
      </w:r>
      <w:r>
        <w:rPr>
          <w:sz w:val="24"/>
          <w:szCs w:val="24"/>
        </w:rPr>
        <w:t xml:space="preserve">  = </w:t>
      </w:r>
    </w:p>
    <w:p>
      <w:pPr>
        <w:pStyle w:val="Normal"/>
        <w:ind w:start="360" w:end="0"/>
        <w:rPr>
          <w:sz w:val="24"/>
          <w:szCs w:val="24"/>
        </w:rPr>
      </w:pPr>
      <w:r>
        <w:rPr>
          <w:sz w:val="24"/>
          <w:szCs w:val="24"/>
        </w:rPr>
        <w:t xml:space="preserve">Sum for each hour of January 2001 through April 2001 of: </w:t>
      </w:r>
    </w:p>
    <w:p>
      <w:pPr>
        <w:pStyle w:val="Normal"/>
        <w:ind w:start="360" w:end="0"/>
        <w:rPr>
          <w:sz w:val="24"/>
          <w:szCs w:val="24"/>
        </w:rPr>
      </w:pPr>
      <w:r>
        <w:rPr>
          <w:sz w:val="24"/>
          <w:szCs w:val="24"/>
        </w:rPr>
        <w:t xml:space="preserve"> </w:t>
      </w:r>
      <w:r>
        <w:rPr>
          <w:sz w:val="24"/>
          <w:szCs w:val="24"/>
        </w:rPr>
        <w:t xml:space="preserve">(   (Correct UFE – Incorrect UFE) </w:t>
      </w:r>
      <w:r>
        <w:rPr>
          <w:i/>
          <w:iCs/>
          <w:sz w:val="24"/>
          <w:szCs w:val="24"/>
        </w:rPr>
        <w:t>(in kW)*</w:t>
      </w:r>
      <w:r>
        <w:rPr>
          <w:sz w:val="24"/>
          <w:szCs w:val="24"/>
        </w:rPr>
        <w:t xml:space="preserve"> PECO Zone LMP </w:t>
      </w:r>
      <w:r>
        <w:rPr>
          <w:i/>
          <w:iCs/>
          <w:sz w:val="24"/>
          <w:szCs w:val="24"/>
        </w:rPr>
        <w:t>(in $/kWh)     )</w:t>
      </w:r>
    </w:p>
    <w:p>
      <w:pPr>
        <w:pStyle w:val="Normal"/>
        <w:ind w:firstLine="720" w:end="0"/>
        <w:rPr>
          <w:sz w:val="24"/>
          <w:szCs w:val="24"/>
        </w:rPr>
      </w:pPr>
      <w:r>
        <w:rPr>
          <w:sz w:val="24"/>
          <w:szCs w:val="24"/>
        </w:rPr>
      </w:r>
    </w:p>
    <w:p>
      <w:pPr>
        <w:pStyle w:val="Normal"/>
        <w:ind w:firstLine="720" w:end="0"/>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Heading2"/>
        <w:ind w:hanging="0" w:start="0"/>
        <w:rPr/>
      </w:pPr>
      <w:r>
        <w:rPr/>
        <w:t>Attachment A</w: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t>October 11, 2001</w:t>
      </w:r>
    </w:p>
    <w:p>
      <w:pPr>
        <w:pStyle w:val="Normal"/>
        <w:jc w:val="end"/>
        <w:rPr/>
      </w:pPr>
      <w:r>
        <w:rPr/>
      </w:r>
    </w:p>
    <w:p>
      <w:pPr>
        <w:pStyle w:val="Normal"/>
        <w:rPr>
          <w:lang w:val="en-CA"/>
        </w:rPr>
      </w:pPr>
      <w:r>
        <w:rPr>
          <w:lang w:val="en-CA"/>
        </w:rPr>
        <w:t xml:space="preserve">Enron Energy Services, Inc. </w:t>
      </w:r>
    </w:p>
    <w:p>
      <w:pPr>
        <w:pStyle w:val="Normal"/>
        <w:rPr>
          <w:lang w:val="en-CA"/>
        </w:rPr>
      </w:pPr>
      <w:r>
        <w:rPr>
          <w:lang w:val="en-CA"/>
        </w:rPr>
        <w:t>1400 Smith St</w:t>
      </w:r>
    </w:p>
    <w:p>
      <w:pPr>
        <w:pStyle w:val="Normal"/>
        <w:rPr/>
      </w:pPr>
      <w:r>
        <w:rPr>
          <w:lang w:val="en-CA"/>
        </w:rPr>
        <w:t xml:space="preserve">Houston </w:t>
      </w:r>
      <w:r>
        <w:rPr/>
        <w:t xml:space="preserve">, </w:t>
      </w:r>
      <w:r>
        <w:rPr>
          <w:lang w:val="en-CA"/>
        </w:rPr>
        <w:t>TX</w:t>
      </w:r>
      <w:r>
        <w:rPr/>
        <w:t xml:space="preserve"> </w:t>
      </w:r>
      <w:r>
        <w:rPr>
          <w:lang w:val="en-CA"/>
        </w:rPr>
        <w:t>77002-7361</w:t>
      </w:r>
    </w:p>
    <w:p>
      <w:pPr>
        <w:pStyle w:val="Normal"/>
        <w:rPr/>
      </w:pPr>
      <w:r>
        <w:rPr/>
      </w:r>
    </w:p>
    <w:p>
      <w:pPr>
        <w:pStyle w:val="Normal"/>
        <w:rPr/>
      </w:pPr>
      <w:r>
        <w:rPr/>
        <w:t xml:space="preserve">Subject Matter: </w:t>
      </w:r>
      <w:r>
        <w:rPr>
          <w:b/>
          <w:bCs/>
          <w:u w:val="single"/>
        </w:rPr>
        <w:t>Energy Reconciliation Process Correction</w:t>
      </w:r>
    </w:p>
    <w:p>
      <w:pPr>
        <w:pStyle w:val="Normal"/>
        <w:rPr>
          <w:b/>
          <w:bCs/>
          <w:u w:val="single"/>
        </w:rPr>
      </w:pPr>
      <w:r>
        <w:rPr>
          <w:b/>
          <w:bCs/>
          <w:u w:val="single"/>
        </w:rPr>
      </w:r>
    </w:p>
    <w:p>
      <w:pPr>
        <w:pStyle w:val="Normal"/>
        <w:rPr/>
      </w:pPr>
      <w:r>
        <w:rPr/>
      </w:r>
    </w:p>
    <w:p>
      <w:pPr>
        <w:pStyle w:val="Normal"/>
        <w:rPr/>
      </w:pPr>
      <w:r>
        <w:rPr>
          <w:color w:val="000000"/>
        </w:rPr>
        <w:t xml:space="preserve">PECO Energy and </w:t>
      </w:r>
      <w:r>
        <w:rPr>
          <w:color w:val="000000"/>
          <w:lang w:val="en-CA"/>
        </w:rPr>
        <w:t xml:space="preserve">Enron Energy Services, Inc. </w:t>
      </w:r>
      <w:r>
        <w:rPr>
          <w:color w:val="000000"/>
        </w:rPr>
        <w:t xml:space="preserve"> have agreed to the corrections made in the Unaccounted-For-Energy (“UFE”) portions of reconciliation for the period of January 2001 through April 2001.  In accordance with UFE reconciliation reruns for the period January 2001 though April 2001, </w:t>
      </w:r>
      <w:r>
        <w:rPr>
          <w:color w:val="000000"/>
          <w:lang w:val="en-CA"/>
        </w:rPr>
        <w:t xml:space="preserve">Enron Energy Services, Inc. </w:t>
      </w:r>
      <w:r>
        <w:rPr>
          <w:color w:val="000000"/>
        </w:rPr>
        <w:t xml:space="preserve"> owes PECO Energy $</w:t>
      </w:r>
      <w:r>
        <w:rPr>
          <w:color w:val="000000"/>
          <w:lang w:val="en-CA"/>
        </w:rPr>
        <w:t>1,618.74</w:t>
      </w:r>
      <w:r>
        <w:rPr>
          <w:color w:val="000000"/>
        </w:rPr>
        <w:t>.</w:t>
      </w:r>
    </w:p>
    <w:p>
      <w:pPr>
        <w:pStyle w:val="Normal"/>
        <w:rPr>
          <w:color w:val="000000"/>
        </w:rPr>
      </w:pPr>
      <w:r>
        <w:rPr>
          <w:color w:val="000000"/>
        </w:rPr>
      </w:r>
    </w:p>
    <w:p>
      <w:pPr>
        <w:pStyle w:val="Normal"/>
        <w:rPr>
          <w:color w:val="000000"/>
        </w:rPr>
      </w:pPr>
      <w:r>
        <w:rPr>
          <w:color w:val="000000"/>
        </w:rPr>
        <w:t>Please indicate your agreement to pay this amount through a line item adjustment on your PJM bill by signing where indicated below.  Upon executing this letter, please return it by fax to Electric and Gas Choice, at (215) 841-4728, or mail it to the above address.</w:t>
      </w:r>
    </w:p>
    <w:p>
      <w:pPr>
        <w:pStyle w:val="Normal"/>
        <w:rPr>
          <w:color w:val="000000"/>
        </w:rPr>
      </w:pPr>
      <w:r>
        <w:rPr>
          <w:color w:val="000000"/>
        </w:rPr>
      </w:r>
    </w:p>
    <w:p>
      <w:pPr>
        <w:pStyle w:val="Normal"/>
        <w:rPr/>
      </w:pPr>
      <w:r>
        <w:rPr/>
      </w:r>
    </w:p>
    <w:p>
      <w:pPr>
        <w:pStyle w:val="Normal"/>
        <w:rPr/>
      </w:pPr>
      <w:r>
        <w:rPr/>
      </w:r>
    </w:p>
    <w:p>
      <w:pPr>
        <w:pStyle w:val="Normal"/>
        <w:rPr/>
      </w:pPr>
      <w:r>
        <w:rPr/>
        <w:t xml:space="preserve"> </w:t>
      </w:r>
      <w:r>
        <w:rPr/>
        <w:t>_______________________________</w:t>
        <w:tab/>
        <w:tab/>
      </w:r>
    </w:p>
    <w:p>
      <w:pPr>
        <w:pStyle w:val="Normal"/>
        <w:rPr/>
      </w:pPr>
      <w:r>
        <w:rPr>
          <w:lang w:val="en-CA"/>
        </w:rPr>
        <w:t>Vice President</w:t>
      </w:r>
      <w:r>
        <w:rPr/>
        <w:tab/>
        <w:tab/>
        <w:tab/>
      </w:r>
    </w:p>
    <w:p>
      <w:pPr>
        <w:pStyle w:val="Normal"/>
        <w:rPr/>
      </w:pPr>
      <w:r>
        <w:rPr>
          <w:lang w:val="en-CA"/>
        </w:rPr>
        <w:t xml:space="preserve">Enron Energy Services, Inc. </w:t>
      </w:r>
      <w:r>
        <w:rPr/>
        <w:tab/>
        <w:tab/>
        <w:tab/>
        <w:tab/>
        <w:tab/>
      </w:r>
    </w:p>
    <w:p>
      <w:pPr>
        <w:pStyle w:val="Normal"/>
        <w:rPr/>
      </w:pPr>
      <w:r>
        <w:rPr/>
      </w:r>
    </w:p>
    <w:p>
      <w:pPr>
        <w:pStyle w:val="Normal"/>
        <w:rPr/>
      </w:pPr>
      <w:r>
        <w:rPr/>
      </w:r>
    </w:p>
    <w:p>
      <w:pPr>
        <w:pStyle w:val="Normal"/>
        <w:rPr/>
      </w:pPr>
      <w:r>
        <w:rPr/>
        <w:t>________________________________</w:t>
      </w:r>
    </w:p>
    <w:p>
      <w:pPr>
        <w:pStyle w:val="Normal"/>
        <w:rPr/>
      </w:pPr>
      <w:r>
        <w:rPr/>
        <w:t>John J. McCawley</w:t>
      </w:r>
    </w:p>
    <w:p>
      <w:pPr>
        <w:pStyle w:val="Normal"/>
        <w:rPr/>
      </w:pPr>
      <w:r>
        <w:rPr/>
        <w:t>Director, Electric And Gas Choice</w:t>
      </w:r>
    </w:p>
    <w:p>
      <w:pPr>
        <w:pStyle w:val="Normal"/>
        <w:rPr/>
      </w:pPr>
      <w:r>
        <w:rPr/>
        <w:t>PECO Energy Company</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eastAsia="Times New Roman" w:cs="Times New Roman"/>
      <w:b/>
      <w:bCs/>
      <w:u w:val="single"/>
    </w:rPr>
  </w:style>
  <w:style w:type="paragraph" w:styleId="Heading2">
    <w:name w:val="heading 2"/>
    <w:basedOn w:val="Normal"/>
    <w:next w:val="Normal"/>
    <w:qFormat/>
    <w:pPr>
      <w:keepNext w:val="true"/>
      <w:numPr>
        <w:ilvl w:val="1"/>
        <w:numId w:val="1"/>
      </w:numPr>
      <w:jc w:val="center"/>
      <w:outlineLvl w:val="1"/>
    </w:pPr>
    <w:rPr>
      <w:b/>
      <w:bCs/>
      <w:sz w:val="24"/>
      <w:szCs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hanging="0" w:start="360" w:end="0"/>
    </w:pPr>
    <w:rPr>
      <w:rFonts w:ascii="Times New Roman" w:hAnsi="Times New Roman" w:eastAsia="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2001-10-16T16:19:00Z</dcterms:created>
  <dc:creator>PECO</dc:creator>
  <dc:description/>
  <dc:language>en-CA</dc:language>
  <cp:lastModifiedBy>PECO</cp:lastModifiedBy>
  <dcterms:modified xsi:type="dcterms:W3CDTF">2001-10-16T16:20:00Z</dcterms:modified>
  <cp:revision>1</cp:revision>
  <dc:subject/>
  <dc:title>October 11, 2001</dc:title>
</cp:coreProperties>
</file>