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end"/>
        <w:rPr/>
      </w:pPr>
      <w:r>
        <w:rPr/>
        <w:t>30 October 2000</w:t>
      </w:r>
    </w:p>
    <w:p>
      <w:pPr>
        <w:pStyle w:val="Normal"/>
        <w:rPr/>
      </w:pPr>
      <w:r>
        <w:rPr/>
      </w:r>
    </w:p>
    <w:p>
      <w:pPr>
        <w:pStyle w:val="Normal"/>
        <w:rPr/>
      </w:pPr>
      <w:r>
        <w:rPr/>
      </w:r>
    </w:p>
    <w:p>
      <w:pPr>
        <w:pStyle w:val="Normal"/>
        <w:rPr/>
      </w:pPr>
      <w:r>
        <w:rPr/>
        <w:t>Richard Sanders</w:t>
      </w:r>
    </w:p>
    <w:p>
      <w:pPr>
        <w:pStyle w:val="Normal"/>
        <w:rPr/>
      </w:pPr>
      <w:r>
        <w:rPr/>
        <w:t>General Counsel</w:t>
      </w:r>
    </w:p>
    <w:p>
      <w:pPr>
        <w:pStyle w:val="Normal"/>
        <w:rPr/>
      </w:pPr>
      <w:r>
        <w:rPr/>
        <w:t>Enron Corporation</w:t>
      </w:r>
    </w:p>
    <w:p>
      <w:pPr>
        <w:pStyle w:val="Normal"/>
        <w:rPr/>
      </w:pPr>
      <w:r>
        <w:rPr/>
        <w:t>1400 Smith Street</w:t>
      </w:r>
    </w:p>
    <w:p>
      <w:pPr>
        <w:pStyle w:val="Normal"/>
        <w:rPr/>
      </w:pPr>
      <w:r>
        <w:rPr/>
        <w:t>Houston, TX 77002</w:t>
      </w:r>
    </w:p>
    <w:p>
      <w:pPr>
        <w:pStyle w:val="Normal"/>
        <w:rPr/>
      </w:pPr>
      <w:r>
        <w:rPr/>
      </w:r>
    </w:p>
    <w:p>
      <w:pPr>
        <w:pStyle w:val="Normal"/>
        <w:rPr/>
      </w:pPr>
      <w:r>
        <w:rPr/>
        <w:t>Re: Strategic Communications, Deregulation</w:t>
      </w:r>
    </w:p>
    <w:p>
      <w:pPr>
        <w:pStyle w:val="Normal"/>
        <w:rPr/>
      </w:pPr>
      <w:r>
        <w:rPr/>
      </w:r>
    </w:p>
    <w:p>
      <w:pPr>
        <w:pStyle w:val="Normal"/>
        <w:rPr/>
      </w:pPr>
      <w:r>
        <w:rPr/>
        <w:t>Dear Mr. Sanders:</w:t>
      </w:r>
    </w:p>
    <w:p>
      <w:pPr>
        <w:pStyle w:val="Normal"/>
        <w:rPr/>
      </w:pPr>
      <w:r>
        <w:rPr/>
      </w:r>
    </w:p>
    <w:p>
      <w:pPr>
        <w:pStyle w:val="Normal"/>
        <w:rPr/>
      </w:pPr>
      <w:r>
        <w:rPr/>
        <w:t xml:space="preserve">Thank you again for your interest in Marathon Communications.  </w:t>
      </w:r>
    </w:p>
    <w:p>
      <w:pPr>
        <w:pStyle w:val="Normal"/>
        <w:rPr/>
      </w:pPr>
      <w:r>
        <w:rPr/>
      </w:r>
    </w:p>
    <w:p>
      <w:pPr>
        <w:pStyle w:val="Normal"/>
        <w:rPr/>
      </w:pPr>
      <w:r>
        <w:rPr/>
        <w:t>Further to our recent conversations, this letter will serve as our agreement to provide strategic communications services and general advice and counsel to Enron Corp. as outlined in our letter of 24 October 2000, incorporated herein by reference.</w:t>
      </w:r>
    </w:p>
    <w:p>
      <w:pPr>
        <w:pStyle w:val="Normal"/>
        <w:rPr/>
      </w:pPr>
      <w:r>
        <w:rPr/>
      </w:r>
    </w:p>
    <w:p>
      <w:pPr>
        <w:pStyle w:val="Normal"/>
        <w:rPr/>
      </w:pPr>
      <w:r>
        <w:rPr/>
        <w:t>Joan Kradin of our Los Angeles office will serve as day-to-day account executive and point of contact with Enron; I will be directly involved in all key phases of the work program and available by phone for consultation; and, the entire Marathon team will be will be involved, when and as necessary, in message development and in strategic communications design, planning and implementation.</w:t>
      </w:r>
    </w:p>
    <w:p>
      <w:pPr>
        <w:pStyle w:val="Normal"/>
        <w:rPr/>
      </w:pPr>
      <w:r>
        <w:rPr/>
      </w:r>
    </w:p>
    <w:p>
      <w:pPr>
        <w:pStyle w:val="Normal"/>
        <w:rPr/>
      </w:pPr>
      <w:r>
        <w:rPr/>
        <w:t xml:space="preserve">We understand the scope of our representation to involve assisting Enron in the short-term (roughly, now through early December) in responding appropriately and effectively to the release of the FERC report.  This initial effort may be regarded as the beginning phase of a longer-term (one-year) effort to develop and implement a strategic communications program aimed at key state legislators, local elected officials, opinion makers and the media for the purpose of addressing issues dealing with the California energy market.  </w:t>
      </w:r>
    </w:p>
    <w:p>
      <w:pPr>
        <w:pStyle w:val="Normal"/>
        <w:rPr/>
      </w:pPr>
      <w:r>
        <w:rPr/>
      </w:r>
    </w:p>
    <w:p>
      <w:pPr>
        <w:pStyle w:val="Normal"/>
        <w:rPr/>
      </w:pPr>
      <w:r>
        <w:rPr/>
        <w:t>Our fee for services as generally described above will be billed monthly at our standard commercial rates of $350, $275 and $185, respectively, for my time, for senior account executives and for associates.  Usual and customary business expenses will be prepaid and billed monthly in addition to our fee.  Costs for the production and distribution of written or audio/visual collateral materials, including paid advertising, if any, will be submitted for your advance approval.  Marathon reserves the right to receive industry-standard commissions on paid advertising.</w:t>
      </w:r>
    </w:p>
    <w:p>
      <w:pPr>
        <w:pStyle w:val="Normal"/>
        <w:rPr/>
      </w:pPr>
      <w:r>
        <w:rPr/>
      </w:r>
    </w:p>
    <w:p>
      <w:pPr>
        <w:pStyle w:val="Normal"/>
        <w:tabs>
          <w:tab w:val="clear" w:pos="720"/>
          <w:tab w:val="left" w:pos="360" w:leader="none"/>
        </w:tabs>
        <w:rPr/>
      </w:pPr>
      <w:r>
        <w:rPr/>
        <w:t xml:space="preserve">This agreement will become effective beginning on 1 November 2000 and will continue in full force and effect from month to month thereafter, until and unless cancelled by either party upon thirty-day written notice.  In the event of cancellation, all unpaid fees for service will be due and payable to Marathon on the first day of the month following the month in which cancellation occurs. </w:t>
      </w:r>
    </w:p>
    <w:p>
      <w:pPr>
        <w:pStyle w:val="Normal"/>
        <w:rPr/>
      </w:pPr>
      <w:r>
        <w:rPr/>
      </w:r>
    </w:p>
    <w:p>
      <w:pPr>
        <w:pStyle w:val="Normal"/>
        <w:rPr/>
      </w:pPr>
      <w:r>
        <w:rPr/>
        <w:t>Thank you for your interest in Marathon Communications.  If the foregoing is not consistent with your understanding of the scope of work or commercial arrangements involved, please let us know at once.  Otherwise, to ensure uninterrupted service of your account, please return one signed copy of this letter at your earliest convenience.</w:t>
      </w:r>
    </w:p>
    <w:p>
      <w:pPr>
        <w:pStyle w:val="Normal"/>
        <w:rPr/>
      </w:pPr>
      <w:r>
        <w:rPr/>
      </w:r>
    </w:p>
    <w:p>
      <w:pPr>
        <w:pStyle w:val="Normal"/>
        <w:rPr/>
      </w:pPr>
      <w:r>
        <w:rPr/>
        <w:t>We look forward to working with you.</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Richard A. Lichtenstein</w:t>
      </w:r>
    </w:p>
    <w:p>
      <w:pPr>
        <w:pStyle w:val="Normal"/>
        <w:rPr/>
      </w:pPr>
      <w:r>
        <w:rPr/>
        <w:t>President</w:t>
      </w:r>
    </w:p>
    <w:p>
      <w:pPr>
        <w:pStyle w:val="Normal"/>
        <w:ind w:start="2880" w:end="0"/>
        <w:rPr/>
      </w:pPr>
      <w:r>
        <w:rPr/>
      </w:r>
    </w:p>
    <w:p>
      <w:pPr>
        <w:pStyle w:val="Normal"/>
        <w:ind w:start="2880" w:end="0"/>
        <w:rPr/>
      </w:pPr>
      <w:r>
        <w:rPr/>
      </w:r>
    </w:p>
    <w:p>
      <w:pPr>
        <w:pStyle w:val="Normal"/>
        <w:ind w:start="2880" w:end="0"/>
        <w:rPr/>
      </w:pPr>
      <w:r>
        <w:rPr/>
        <w:t xml:space="preserve">Agreed to and accepted this ___ day of November 2000 for Enron Corporation, by </w:t>
      </w:r>
    </w:p>
    <w:p>
      <w:pPr>
        <w:pStyle w:val="Normal"/>
        <w:ind w:start="2880" w:end="0"/>
        <w:rPr/>
      </w:pPr>
      <w:r>
        <w:rPr/>
      </w:r>
    </w:p>
    <w:p>
      <w:pPr>
        <w:pStyle w:val="Normal"/>
        <w:ind w:start="2880" w:end="0"/>
        <w:rPr/>
      </w:pPr>
      <w:r>
        <w:rPr/>
      </w:r>
    </w:p>
    <w:p>
      <w:pPr>
        <w:pStyle w:val="Header"/>
        <w:tabs>
          <w:tab w:val="clear" w:pos="4320"/>
          <w:tab w:val="clear" w:pos="8640"/>
        </w:tabs>
        <w:ind w:start="2880" w:end="0"/>
        <w:rPr/>
      </w:pPr>
      <w:r>
        <w:rPr/>
        <w:t>________________________________________</w:t>
      </w:r>
    </w:p>
    <w:p>
      <w:pPr>
        <w:pStyle w:val="Normal"/>
        <w:ind w:start="2880" w:end="0"/>
        <w:rPr/>
      </w:pPr>
      <w:r>
        <w:rPr/>
        <w:t>Richard Sanders</w:t>
      </w:r>
    </w:p>
    <w:p>
      <w:pPr>
        <w:pStyle w:val="Normal"/>
        <w:rPr/>
      </w:pPr>
      <w:r>
        <w:rPr/>
      </w:r>
    </w:p>
    <w:p>
      <w:pPr>
        <w:pStyle w:val="Header"/>
        <w:tabs>
          <w:tab w:val="clear" w:pos="4320"/>
          <w:tab w:val="clear" w:pos="8640"/>
        </w:tabs>
        <w:rPr/>
      </w:pPr>
      <w:r>
        <w:rPr/>
        <w:t>RAL:jtg</w:t>
      </w:r>
    </w:p>
    <w:p>
      <w:pPr>
        <w:pStyle w:val="Normal"/>
        <w:rPr/>
      </w:pPr>
      <w:r>
        <w:rPr/>
      </w:r>
    </w:p>
    <w:p>
      <w:pPr>
        <w:pStyle w:val="Normal"/>
        <w:rPr/>
      </w:pPr>
      <w:r>
        <w:rPr/>
        <w:t>cc: Joan Kradin</w:t>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2016" w:right="2016"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z w:val="22"/>
      </w:rPr>
    </w:pPr>
    <w:r>
      <w:rPr>
        <w:i/>
        <w:sz w:val="22"/>
      </w:rPr>
      <w:t>Marathon Communications Inc.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Enron Corp., Agreement: 30 October 2000, 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504"/>
        </w:tabs>
        <w:ind w:start="504" w:hanging="504"/>
      </w:pPr>
    </w:lvl>
    <w:lvl w:ilvl="1">
      <w:start w:val="1"/>
      <w:pStyle w:val="Heading2"/>
      <w:numFmt w:val="decimal"/>
      <w:lvlText w:val="%2."/>
      <w:lvlJc w:val="start"/>
      <w:pPr>
        <w:ind w:start="0" w:hanging="0"/>
      </w:pPr>
    </w:lvl>
    <w:lvl w:ilvl="2">
      <w:start w:val="1"/>
      <w:pStyle w:val="Heading3"/>
      <w:numFmt w:val="lowerLetter"/>
      <w:lvlText w:val="%3."/>
      <w:lvlJc w:val="start"/>
      <w:pPr>
        <w:tabs>
          <w:tab w:val="num" w:pos="360"/>
        </w:tabs>
        <w:ind w:start="1800" w:hanging="360"/>
      </w:pPr>
    </w:lvl>
    <w:lvl w:ilvl="3">
      <w:start w:val="1"/>
      <w:pStyle w:val="Heading4"/>
      <w:numFmt w:val="decimal"/>
      <w:lvlText w:val="%4)"/>
      <w:lvlJc w:val="start"/>
      <w:pPr>
        <w:tabs>
          <w:tab w:val="num" w:pos="360"/>
        </w:tabs>
        <w:ind w:start="2520" w:hanging="36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04" w:leader="none"/>
      </w:tabs>
      <w:spacing w:before="240" w:after="60"/>
      <w:outlineLvl w:val="0"/>
    </w:pPr>
    <w:rPr>
      <w:kern w:val="2"/>
      <w:sz w:val="28"/>
    </w:rPr>
  </w:style>
  <w:style w:type="paragraph" w:styleId="Heading2">
    <w:name w:val="heading 2"/>
    <w:basedOn w:val="Normal"/>
    <w:next w:val="Normal"/>
    <w:qFormat/>
    <w:pPr>
      <w:keepNext w:val="true"/>
      <w:numPr>
        <w:ilvl w:val="1"/>
        <w:numId w:val="1"/>
      </w:numPr>
      <w:tabs>
        <w:tab w:val="clear" w:pos="720"/>
        <w:tab w:val="left" w:pos="1080" w:leader="none"/>
      </w:tabs>
      <w:spacing w:before="240" w:after="60"/>
      <w:ind w:firstLine="720" w:start="0" w:end="0"/>
      <w:outlineLvl w:val="1"/>
    </w:pPr>
    <w:rPr/>
  </w:style>
  <w:style w:type="paragraph" w:styleId="Heading3">
    <w:name w:val="heading 3"/>
    <w:basedOn w:val="Normal"/>
    <w:next w:val="Normal"/>
    <w:qFormat/>
    <w:pPr>
      <w:keepNext w:val="true"/>
      <w:numPr>
        <w:ilvl w:val="2"/>
        <w:numId w:val="1"/>
      </w:numPr>
      <w:tabs>
        <w:tab w:val="clear" w:pos="720"/>
        <w:tab w:val="left" w:pos="1800" w:leader="none"/>
      </w:tabs>
      <w:spacing w:before="120" w:after="60"/>
      <w:outlineLvl w:val="2"/>
    </w:pPr>
    <w:rPr/>
  </w:style>
  <w:style w:type="paragraph" w:styleId="Heading4">
    <w:name w:val="heading 4"/>
    <w:basedOn w:val="Normal"/>
    <w:next w:val="Normal"/>
    <w:qFormat/>
    <w:pPr>
      <w:keepNext w:val="true"/>
      <w:numPr>
        <w:ilvl w:val="3"/>
        <w:numId w:val="1"/>
      </w:numPr>
      <w:tabs>
        <w:tab w:val="clear" w:pos="720"/>
        <w:tab w:val="left" w:pos="2520" w:leader="none"/>
      </w:tabs>
      <w:spacing w:before="120" w:after="60"/>
      <w:outlineLvl w:val="3"/>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2000-10-30T19:09:00Z</dcterms:created>
  <dc:creator>John Graham</dc:creator>
  <dc:description/>
  <dc:language>en-CA</dc:language>
  <cp:lastModifiedBy>sandra</cp:lastModifiedBy>
  <cp:lastPrinted>2000-10-30T15:54:00Z</cp:lastPrinted>
  <dcterms:modified xsi:type="dcterms:W3CDTF">2000-11-07T19:34:00Z</dcterms:modified>
  <cp:revision>10</cp:revision>
  <dc:subject/>
  <dc:title>30 October 2000</dc:title>
</cp:coreProperties>
</file>