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settings.xml" ContentType="application/vnd.openxmlformats-officedocument.wordprocessingml.settings+xml"/>
  <Override PartName="/word/footer1.xml" ContentType="application/vnd.openxmlformats-officedocument.wordprocessingml.footer+xml"/>
  <Override PartName="/word/footnotes.xml" ContentType="application/vnd.openxmlformats-officedocument.wordprocessingml.footnotes+xml"/>
  <Override PartName="/word/fontTable.xml" ContentType="application/vnd.openxmlformats-officedocument.wordprocessingml.fontTable+xml"/>
  <Override PartName="/word/numbering.xml" ContentType="application/vnd.openxmlformats-officedocument.wordprocessingml.numbering+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SCTitle"/>
        <w:rPr/>
      </w:pPr>
      <w:r>
        <w:rPr/>
        <w:t>SULLIVAN &amp; CROMWELL</w:t>
      </w:r>
    </w:p>
    <w:p>
      <w:pPr>
        <w:pStyle w:val="Header"/>
        <w:tabs>
          <w:tab w:val="clear" w:pos="4320"/>
          <w:tab w:val="clear" w:pos="8640"/>
        </w:tabs>
        <w:rPr/>
      </w:pPr>
      <w:r>
        <w:rPr/>
      </w:r>
    </w:p>
    <w:p>
      <w:pPr>
        <w:pStyle w:val="Normal"/>
        <w:rPr/>
      </w:pPr>
      <w:r>
        <w:rPr/>
        <w:tab/>
        <w:tab/>
        <w:tab/>
        <w:tab/>
        <w:tab/>
        <w:tab/>
        <w:tab/>
        <w:tab/>
      </w:r>
      <w:r>
        <w:rPr>
          <w:rFonts w:cs="Times New Roman" w:ascii="Times New Roman" w:hAnsi="Times New Roman"/>
        </w:rPr>
        <w:t>June __, 2000</w:t>
      </w:r>
    </w:p>
    <w:p>
      <w:pPr>
        <w:pStyle w:val="Normal"/>
        <w:rPr>
          <w:rFonts w:ascii="Times New Roman" w:hAnsi="Times New Roman" w:cs="Times New Roman"/>
        </w:rPr>
      </w:pPr>
      <w:r>
        <w:rPr>
          <w:rFonts w:cs="Times New Roman" w:ascii="Times New Roman" w:hAnsi="Times New Roman"/>
        </w:rPr>
      </w:r>
    </w:p>
    <w:p>
      <w:pPr>
        <w:pStyle w:val="Header"/>
        <w:tabs>
          <w:tab w:val="clear" w:pos="4320"/>
          <w:tab w:val="clear" w:pos="8640"/>
        </w:tabs>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tbl>
      <w:tblPr>
        <w:tblW w:w="15180" w:type="dxa"/>
        <w:jc w:val="start"/>
        <w:tblInd w:w="0" w:type="dxa"/>
        <w:tblLayout w:type="fixed"/>
        <w:tblCellMar>
          <w:top w:w="0" w:type="dxa"/>
          <w:start w:w="0" w:type="dxa"/>
          <w:bottom w:w="0" w:type="dxa"/>
          <w:end w:w="0" w:type="dxa"/>
        </w:tblCellMar>
      </w:tblPr>
      <w:tblGrid>
        <w:gridCol w:w="2340"/>
        <w:gridCol w:w="180"/>
        <w:gridCol w:w="12660"/>
      </w:tblGrid>
      <w:tr>
        <w:trPr>
          <w:trHeight w:val="403" w:hRule="atLeast"/>
        </w:trPr>
        <w:tc>
          <w:tcPr>
            <w:tcW w:w="2340" w:type="dxa"/>
            <w:tcBorders/>
          </w:tcPr>
          <w:p>
            <w:pPr>
              <w:pStyle w:val="Normal"/>
              <w:jc w:val="end"/>
              <w:rPr>
                <w:rFonts w:ascii="Times New Roman" w:hAnsi="Times New Roman" w:cs="Times New Roman"/>
              </w:rPr>
            </w:pPr>
            <w:r>
              <w:rPr>
                <w:rFonts w:cs="Times New Roman" w:ascii="Times New Roman" w:hAnsi="Times New Roman"/>
              </w:rPr>
              <w:t>MEMORANDUM TO:</w:t>
            </w:r>
          </w:p>
        </w:tc>
        <w:tc>
          <w:tcPr>
            <w:tcW w:w="180" w:type="dxa"/>
            <w:tcBorders/>
          </w:tcPr>
          <w:p>
            <w:pPr>
              <w:pStyle w:val="Normal"/>
              <w:snapToGrid w:val="false"/>
              <w:rPr>
                <w:rFonts w:ascii="Times New Roman" w:hAnsi="Times New Roman" w:cs="Times New Roman"/>
              </w:rPr>
            </w:pPr>
            <w:r>
              <w:rPr>
                <w:rFonts w:cs="Times New Roman" w:ascii="Times New Roman" w:hAnsi="Times New Roman"/>
              </w:rPr>
            </w:r>
          </w:p>
        </w:tc>
        <w:tc>
          <w:tcPr>
            <w:tcW w:w="12660" w:type="dxa"/>
            <w:tcBorders/>
          </w:tcPr>
          <w:p>
            <w:pPr>
              <w:pStyle w:val="Header"/>
              <w:tabs>
                <w:tab w:val="clear" w:pos="4320"/>
                <w:tab w:val="clear" w:pos="8640"/>
              </w:tabs>
              <w:rPr>
                <w:rFonts w:ascii="Times New Roman" w:hAnsi="Times New Roman" w:cs="Times New Roman"/>
              </w:rPr>
            </w:pPr>
            <w:r>
              <w:rPr>
                <w:rFonts w:cs="Times New Roman" w:ascii="Times New Roman" w:hAnsi="Times New Roman"/>
              </w:rPr>
              <w:t xml:space="preserve">Leslie Hansen </w:t>
            </w:r>
          </w:p>
          <w:p>
            <w:pPr>
              <w:pStyle w:val="Normal"/>
              <w:rPr>
                <w:rFonts w:ascii="Times New Roman" w:hAnsi="Times New Roman" w:cs="Times New Roman"/>
              </w:rPr>
            </w:pPr>
            <w:r>
              <w:rPr>
                <w:rFonts w:cs="Times New Roman" w:ascii="Times New Roman" w:hAnsi="Times New Roman"/>
              </w:rPr>
              <w:t>(Enron North America, Inc.)</w:t>
            </w:r>
          </w:p>
          <w:p>
            <w:pPr>
              <w:pStyle w:val="Normal"/>
              <w:rPr>
                <w:rFonts w:ascii="Times New Roman" w:hAnsi="Times New Roman" w:cs="Times New Roman"/>
              </w:rPr>
            </w:pPr>
            <w:r>
              <w:rPr>
                <w:rFonts w:cs="Times New Roman" w:ascii="Times New Roman" w:hAnsi="Times New Roman"/>
              </w:rPr>
            </w:r>
          </w:p>
        </w:tc>
      </w:tr>
      <w:tr>
        <w:trPr>
          <w:trHeight w:val="403" w:hRule="atLeast"/>
        </w:trPr>
        <w:tc>
          <w:tcPr>
            <w:tcW w:w="2340" w:type="dxa"/>
            <w:tcBorders/>
          </w:tcPr>
          <w:p>
            <w:pPr>
              <w:pStyle w:val="Normal"/>
              <w:jc w:val="end"/>
              <w:rPr>
                <w:rFonts w:ascii="Times New Roman" w:hAnsi="Times New Roman" w:cs="Times New Roman"/>
              </w:rPr>
            </w:pPr>
            <w:r>
              <w:rPr>
                <w:rFonts w:cs="Times New Roman" w:ascii="Times New Roman" w:hAnsi="Times New Roman"/>
              </w:rPr>
              <w:t>FROM:</w:t>
            </w:r>
          </w:p>
        </w:tc>
        <w:tc>
          <w:tcPr>
            <w:tcW w:w="180" w:type="dxa"/>
            <w:tcBorders/>
          </w:tcPr>
          <w:p>
            <w:pPr>
              <w:pStyle w:val="Normal"/>
              <w:snapToGrid w:val="false"/>
              <w:rPr>
                <w:rFonts w:ascii="Times New Roman" w:hAnsi="Times New Roman" w:cs="Times New Roman"/>
              </w:rPr>
            </w:pPr>
            <w:r>
              <w:rPr>
                <w:rFonts w:cs="Times New Roman" w:ascii="Times New Roman" w:hAnsi="Times New Roman"/>
              </w:rPr>
            </w:r>
          </w:p>
        </w:tc>
        <w:tc>
          <w:tcPr>
            <w:tcW w:w="12660" w:type="dxa"/>
            <w:tcBorders/>
          </w:tcPr>
          <w:p>
            <w:pPr>
              <w:pStyle w:val="Normal"/>
              <w:rPr>
                <w:rFonts w:ascii="Times New Roman" w:hAnsi="Times New Roman" w:cs="Times New Roman"/>
              </w:rPr>
            </w:pPr>
            <w:r>
              <w:rPr>
                <w:rFonts w:cs="Times New Roman" w:ascii="Times New Roman" w:hAnsi="Times New Roman"/>
              </w:rPr>
              <w:t>Kenneth M. Raisler</w:t>
            </w:r>
          </w:p>
          <w:p>
            <w:pPr>
              <w:pStyle w:val="Normal"/>
              <w:rPr>
                <w:rFonts w:ascii="Times New Roman" w:hAnsi="Times New Roman" w:cs="Times New Roman"/>
              </w:rPr>
            </w:pPr>
            <w:r>
              <w:rPr>
                <w:rFonts w:cs="Times New Roman" w:ascii="Times New Roman" w:hAnsi="Times New Roman"/>
              </w:rPr>
              <w:t>David J. Gilberg</w:t>
            </w:r>
          </w:p>
          <w:p>
            <w:pPr>
              <w:pStyle w:val="Normal"/>
              <w:rPr>
                <w:rFonts w:ascii="Times New Roman" w:hAnsi="Times New Roman" w:cs="Times New Roman"/>
              </w:rPr>
            </w:pPr>
            <w:r>
              <w:rPr>
                <w:rFonts w:cs="Times New Roman" w:ascii="Times New Roman" w:hAnsi="Times New Roman"/>
              </w:rPr>
            </w:r>
          </w:p>
        </w:tc>
      </w:tr>
      <w:tr>
        <w:trPr>
          <w:trHeight w:val="403" w:hRule="atLeast"/>
        </w:trPr>
        <w:tc>
          <w:tcPr>
            <w:tcW w:w="2340" w:type="dxa"/>
            <w:tcBorders/>
          </w:tcPr>
          <w:p>
            <w:pPr>
              <w:pStyle w:val="Normal"/>
              <w:jc w:val="end"/>
              <w:rPr>
                <w:rFonts w:ascii="Times New Roman" w:hAnsi="Times New Roman" w:cs="Times New Roman"/>
              </w:rPr>
            </w:pPr>
            <w:r>
              <w:rPr>
                <w:rFonts w:cs="Times New Roman" w:ascii="Times New Roman" w:hAnsi="Times New Roman"/>
              </w:rPr>
              <w:t>RE:</w:t>
            </w:r>
          </w:p>
        </w:tc>
        <w:tc>
          <w:tcPr>
            <w:tcW w:w="180" w:type="dxa"/>
            <w:tcBorders/>
          </w:tcPr>
          <w:p>
            <w:pPr>
              <w:pStyle w:val="Normal"/>
              <w:snapToGrid w:val="false"/>
              <w:rPr>
                <w:rFonts w:ascii="Times New Roman" w:hAnsi="Times New Roman" w:cs="Times New Roman"/>
                <w:u w:val="single"/>
              </w:rPr>
            </w:pPr>
            <w:r>
              <w:rPr>
                <w:rFonts w:cs="Times New Roman" w:ascii="Times New Roman" w:hAnsi="Times New Roman"/>
                <w:u w:val="single"/>
              </w:rPr>
            </w:r>
          </w:p>
        </w:tc>
        <w:tc>
          <w:tcPr>
            <w:tcW w:w="12660" w:type="dxa"/>
            <w:tcBorders/>
          </w:tcPr>
          <w:p>
            <w:pPr>
              <w:pStyle w:val="Heading1"/>
              <w:ind w:hanging="0" w:start="0"/>
              <w:rPr>
                <w:sz w:val="24"/>
              </w:rPr>
            </w:pPr>
            <w:r>
              <w:rPr>
                <w:sz w:val="24"/>
              </w:rPr>
              <w:t>Considerations Related to Website Content</w:t>
            </w:r>
          </w:p>
        </w:tc>
      </w:tr>
    </w:tbl>
    <w:p>
      <w:pPr>
        <w:pStyle w:val="Normal"/>
        <w:rPr>
          <w:rFonts w:ascii="Times New Roman" w:hAnsi="Times New Roman" w:cs="Times New Roman"/>
        </w:rPr>
      </w:pPr>
      <w:r>
        <w:rPr>
          <w:rFonts w:cs="Times New Roman" w:ascii="Times New Roman" w:hAnsi="Times New Roman"/>
        </w:rPr>
      </w:r>
    </w:p>
    <w:p>
      <w:pPr>
        <w:pStyle w:val="Normal"/>
        <w:rPr/>
      </w:pPr>
      <w:r>
        <w:rPr/>
        <w:tab/>
        <w:tab/>
      </w:r>
      <w:r>
        <w:rPr>
          <w:rFonts w:cs="Times New Roman" w:ascii="Times New Roman" w:hAnsi="Times New Roman"/>
        </w:rPr>
        <w:t>This memorandum summarizes our discussions regarding various legal and regulatory considerations raised by the posting, by Enron North America Inc. (together with its affiliates, “Enron”), of certain types of material on EnronOnline (“EOL”), a website owned and operated by Enron.  We understand that this material may include descriptions of various types of derivative instruments available to be entered into with Enron through EOL, possible strategies for the use of such instruments, historical information and data regarding the relevant markets, projections and forecasts and reprints of articles from other publications.  EOL is available only to customers and counterparties of Enron who have been approved for the use of EOL and have been given passwords that enable them to access the website.  However, portions of EOL, referred to as the “garden”, are available to any member of the public without the use of a password.</w:t>
      </w:r>
    </w:p>
    <w:p>
      <w:pPr>
        <w:pStyle w:val="Normal"/>
        <w:rPr>
          <w:rFonts w:ascii="Times New Roman" w:hAnsi="Times New Roman" w:cs="Times New Roman"/>
        </w:rPr>
      </w:pPr>
      <w:r>
        <w:rPr>
          <w:rFonts w:cs="Times New Roman" w:ascii="Times New Roman" w:hAnsi="Times New Roman"/>
        </w:rPr>
      </w:r>
    </w:p>
    <w:p>
      <w:pPr>
        <w:pStyle w:val="BodyTextIndent2"/>
        <w:rPr/>
      </w:pPr>
      <w:r>
        <w:rPr/>
        <w:tab/>
        <w:t>We have discussed with you several issues related to the proposed publication of these materials on EOL.  Set forth below is a summary of our views on these issues.</w:t>
      </w:r>
    </w:p>
    <w:p>
      <w:pPr>
        <w:pStyle w:val="Normal"/>
        <w:tabs>
          <w:tab w:val="clear" w:pos="720"/>
          <w:tab w:val="left" w:pos="1440" w:leader="none"/>
        </w:tabs>
        <w:ind w:firstLine="810" w:end="0"/>
        <w:rPr>
          <w:rFonts w:ascii="Times New Roman" w:hAnsi="Times New Roman" w:cs="Times New Roman"/>
        </w:rPr>
      </w:pPr>
      <w:r>
        <w:rPr>
          <w:rFonts w:cs="Times New Roman" w:ascii="Times New Roman" w:hAnsi="Times New Roman"/>
        </w:rPr>
      </w:r>
    </w:p>
    <w:p>
      <w:pPr>
        <w:pStyle w:val="Normal"/>
        <w:numPr>
          <w:ilvl w:val="0"/>
          <w:numId w:val="2"/>
        </w:numPr>
        <w:tabs>
          <w:tab w:val="clear" w:pos="720"/>
          <w:tab w:val="left" w:pos="1440" w:leader="none"/>
        </w:tabs>
        <w:rPr>
          <w:rFonts w:ascii="Times New Roman" w:hAnsi="Times New Roman" w:cs="Times New Roman"/>
        </w:rPr>
      </w:pPr>
      <w:r>
        <w:rPr>
          <w:rFonts w:cs="Times New Roman" w:ascii="Times New Roman" w:hAnsi="Times New Roman"/>
          <w:u w:val="single"/>
        </w:rPr>
        <w:t>Commodity Trading Advisor Issues.</w:t>
      </w:r>
    </w:p>
    <w:p>
      <w:pPr>
        <w:pStyle w:val="Normal"/>
        <w:tabs>
          <w:tab w:val="clear" w:pos="720"/>
          <w:tab w:val="left" w:pos="1440" w:leader="none"/>
        </w:tabs>
        <w:rPr>
          <w:rFonts w:ascii="Times New Roman" w:hAnsi="Times New Roman" w:cs="Times New Roman"/>
        </w:rPr>
      </w:pPr>
      <w:r>
        <w:rPr>
          <w:rFonts w:cs="Times New Roman" w:ascii="Times New Roman" w:hAnsi="Times New Roman"/>
        </w:rPr>
      </w:r>
    </w:p>
    <w:p>
      <w:pPr>
        <w:pStyle w:val="Normal"/>
        <w:tabs>
          <w:tab w:val="clear" w:pos="720"/>
          <w:tab w:val="left" w:pos="1440" w:leader="none"/>
        </w:tabs>
        <w:rPr/>
      </w:pPr>
      <w:r>
        <w:rPr>
          <w:rFonts w:cs="Times New Roman" w:ascii="Times New Roman" w:hAnsi="Times New Roman"/>
        </w:rPr>
        <w:tab/>
        <w:t>The Commodity Exchange Act (“CEA”) and Commodity Futures Trading Commission (“CFTC”) rules require registration as a commodity trading advisor, or “CTA”, on the part of any person who, for compensation or profit, is engaged in the business of advising others, directly or indirectly, “as to the value of or the advisability of trading in” futures contracts, options on futures or other CFTC regulated instruments</w:t>
      </w:r>
      <w:r>
        <w:rPr>
          <w:rStyle w:val="FootnoteCharacters"/>
          <w:rStyle w:val="FootnoteReference"/>
          <w:rFonts w:eastAsia="Symbol" w:cs="Symbol" w:ascii="Symbol" w:hAnsi="Symbol"/>
        </w:rPr>
        <w:footnoteReference w:customMarkFollows="1" w:id="2"/>
        <w:t></w:t>
      </w:r>
      <w:r>
        <w:rPr>
          <w:rFonts w:cs="Times New Roman" w:ascii="Times New Roman" w:hAnsi="Times New Roman"/>
        </w:rPr>
        <w:t xml:space="preserve">.  CEA, §1a(5); CFTC Rules, §1.3(bb).  This definition encompasses persons managing accounts of others on a discretionary basis as well as publishers of the types of information or material included within the definition.  Accordingly, to the extent that Enron includes on EOL material regarding the value of or the advisability of trading in futures contracts or commodity options, it is possible that it will become subject to registration as a CTA. </w:t>
      </w:r>
    </w:p>
    <w:p>
      <w:pPr>
        <w:pStyle w:val="Normal"/>
        <w:tabs>
          <w:tab w:val="clear" w:pos="720"/>
          <w:tab w:val="left" w:pos="1440" w:leader="none"/>
        </w:tabs>
        <w:rPr>
          <w:rFonts w:ascii="Times New Roman" w:hAnsi="Times New Roman" w:cs="Times New Roman"/>
        </w:rPr>
      </w:pPr>
      <w:r>
        <w:rPr>
          <w:rFonts w:cs="Times New Roman" w:ascii="Times New Roman" w:hAnsi="Times New Roman"/>
        </w:rPr>
      </w:r>
    </w:p>
    <w:p>
      <w:pPr>
        <w:pStyle w:val="Normal"/>
        <w:tabs>
          <w:tab w:val="clear" w:pos="720"/>
          <w:tab w:val="left" w:pos="1440" w:leader="none"/>
        </w:tabs>
        <w:rPr>
          <w:rFonts w:ascii="Times New Roman" w:hAnsi="Times New Roman" w:cs="Times New Roman"/>
        </w:rPr>
      </w:pPr>
      <w:r>
        <w:rPr>
          <w:rFonts w:cs="Times New Roman" w:ascii="Times New Roman" w:hAnsi="Times New Roman"/>
        </w:rPr>
        <w:tab/>
        <w:t>However, the CFTC recently adopted a rule exempting from the CTA registration requirement persons providing standardized advice through the use of the internet or other media that is not tailored or customized to the needs or interests of particular recipients.  CFTC Rule 4.14(a)(9); 65 Fed. Reg. 12938 (March 10, 2000).  Pursuant to the exemption, a person that would otherwise be subject to CTA registration is not required to register as such if it does not direct client accounts or provide advice that is “based on, or tailored to, the commodity interest or cash market positions or other circumstances or characteristics of particular clients”.  Even if Enron provides advice with respect to CFTC-regulated instruments through EOL, therefore, it should not be required to register as a CTA if the requirements of this exemption are satisfied.</w:t>
      </w:r>
    </w:p>
    <w:p>
      <w:pPr>
        <w:pStyle w:val="Normal"/>
        <w:tabs>
          <w:tab w:val="clear" w:pos="720"/>
          <w:tab w:val="left" w:pos="1440" w:leader="none"/>
        </w:tabs>
        <w:rPr>
          <w:rFonts w:ascii="Times New Roman" w:hAnsi="Times New Roman" w:cs="Times New Roman"/>
        </w:rPr>
      </w:pPr>
      <w:r>
        <w:rPr>
          <w:rFonts w:cs="Times New Roman" w:ascii="Times New Roman" w:hAnsi="Times New Roman"/>
        </w:rPr>
      </w:r>
    </w:p>
    <w:p>
      <w:pPr>
        <w:pStyle w:val="Normal"/>
        <w:numPr>
          <w:ilvl w:val="0"/>
          <w:numId w:val="2"/>
        </w:numPr>
        <w:tabs>
          <w:tab w:val="clear" w:pos="720"/>
          <w:tab w:val="left" w:pos="1440" w:leader="none"/>
        </w:tabs>
        <w:rPr>
          <w:rFonts w:ascii="Times New Roman" w:hAnsi="Times New Roman" w:cs="Times New Roman"/>
        </w:rPr>
      </w:pPr>
      <w:r>
        <w:rPr>
          <w:rFonts w:cs="Times New Roman" w:ascii="Times New Roman" w:hAnsi="Times New Roman"/>
          <w:u w:val="single"/>
        </w:rPr>
        <w:t>General Advisory Issues</w:t>
      </w:r>
    </w:p>
    <w:p>
      <w:pPr>
        <w:pStyle w:val="Normal"/>
        <w:tabs>
          <w:tab w:val="clear" w:pos="720"/>
          <w:tab w:val="left" w:pos="1440" w:leader="none"/>
        </w:tabs>
        <w:rPr>
          <w:rFonts w:ascii="Times New Roman" w:hAnsi="Times New Roman" w:cs="Times New Roman"/>
        </w:rPr>
      </w:pPr>
      <w:r>
        <w:rPr>
          <w:rFonts w:cs="Times New Roman" w:ascii="Times New Roman" w:hAnsi="Times New Roman"/>
        </w:rPr>
      </w:r>
    </w:p>
    <w:p>
      <w:pPr>
        <w:pStyle w:val="Normal"/>
        <w:tabs>
          <w:tab w:val="clear" w:pos="720"/>
          <w:tab w:val="left" w:pos="1440" w:leader="none"/>
        </w:tabs>
        <w:rPr>
          <w:rFonts w:ascii="Times New Roman" w:hAnsi="Times New Roman" w:cs="Times New Roman"/>
        </w:rPr>
      </w:pPr>
      <w:r>
        <w:rPr>
          <w:rFonts w:cs="Times New Roman" w:ascii="Times New Roman" w:hAnsi="Times New Roman"/>
        </w:rPr>
        <w:tab/>
        <w:t>The provision of advice by Enron to users of EOL, either with respect to CFTC-regulated instruments or other products and services, also raises a question as to whether Enron could be found to have incurred fiduciary or similar types of duties to such users as a result of its rendering such advice.  In particular, if Enron renders advice to a counterparty, or otherwise encourages the counterparty to view Enron as an advisor or as a party acting in the best interests of the counterparty, and the counterparty reasonably relies on the Enron for these purposes, Enron could be found to have fiduciary duties to the counterparty.  In that event, Enron could have liability for losses sustained by the counterparty if Enron is found to have acted in its own interests and not in the best interests of the counterparty.  This risk, of course, arises in connection with Enron’s trading businesses generally, and is not specific to business conducted through EOL.  However, these risks may be greater in the context of relationships and transactions conducted through EOL due to the fact that the same content will be disseminated to multiple users, thereby creating the risk that fiduciary duties will be found to exist with respect to counterparties with which Enron has not had direct voice communications.</w:t>
      </w:r>
    </w:p>
    <w:p>
      <w:pPr>
        <w:pStyle w:val="Normal"/>
        <w:tabs>
          <w:tab w:val="clear" w:pos="720"/>
          <w:tab w:val="left" w:pos="1440" w:leader="none"/>
        </w:tabs>
        <w:rPr>
          <w:rFonts w:ascii="Times New Roman" w:hAnsi="Times New Roman" w:cs="Times New Roman"/>
        </w:rPr>
      </w:pPr>
      <w:r>
        <w:rPr>
          <w:rFonts w:cs="Times New Roman" w:ascii="Times New Roman" w:hAnsi="Times New Roman"/>
        </w:rPr>
      </w:r>
    </w:p>
    <w:p>
      <w:pPr>
        <w:pStyle w:val="Normal"/>
        <w:tabs>
          <w:tab w:val="clear" w:pos="720"/>
          <w:tab w:val="left" w:pos="1440" w:leader="none"/>
        </w:tabs>
        <w:rPr>
          <w:rFonts w:ascii="Times New Roman" w:hAnsi="Times New Roman" w:cs="Times New Roman"/>
        </w:rPr>
      </w:pPr>
      <w:r>
        <w:rPr>
          <w:rFonts w:cs="Times New Roman" w:ascii="Times New Roman" w:hAnsi="Times New Roman"/>
        </w:rPr>
        <w:tab/>
        <w:t xml:space="preserve">In order to reduce this risk, as is the case in connection with Enron’s existing non-electronic trading businesses, Enron should ensure that its relationships with EOL users are at arms’ length and that counterparties are not informed or encouraged to believe that Enron is acting as their advisor or fiduciary.  In fact, Enron should make it clear, through appropriate disclosures and disclaimers, that Enron is not acting as the advisor or fiduciary of EOL users and that such users are solely responsible for their own trading decisions, either independently or together with their advisors.  In addition, Enron should exercise caution in including on EOL, as matters generally available to all users, market projections, strategies or recommendations or other similar types of material.  While such material may be included, it should be carefully scrutinized, limited, to the extent feasible, to content that cannot reasonably be construed as advice to be followed by particular users and qualified by appropriate disclaimers.  With respect to material included in the “garden”, of course, greater caution should be exercised.  Moreover, Enron should refrain from stating or implying that it is “working with” users to develop strategies, that it is acting as their “partner” in structuring or implementing transactions or that it is operating in any similar capacity.  Such approaches could be used against Enron to support findings of fiduciary duties.  </w:t>
      </w:r>
    </w:p>
    <w:p>
      <w:pPr>
        <w:pStyle w:val="Normal"/>
        <w:tabs>
          <w:tab w:val="clear" w:pos="720"/>
          <w:tab w:val="left" w:pos="1440" w:leader="none"/>
        </w:tabs>
        <w:rPr>
          <w:rFonts w:ascii="Times New Roman" w:hAnsi="Times New Roman" w:cs="Times New Roman"/>
        </w:rPr>
      </w:pPr>
      <w:r>
        <w:rPr>
          <w:rFonts w:cs="Times New Roman" w:ascii="Times New Roman" w:hAnsi="Times New Roman"/>
        </w:rPr>
      </w:r>
    </w:p>
    <w:p>
      <w:pPr>
        <w:pStyle w:val="Normal"/>
        <w:numPr>
          <w:ilvl w:val="0"/>
          <w:numId w:val="2"/>
        </w:numPr>
        <w:tabs>
          <w:tab w:val="clear" w:pos="720"/>
          <w:tab w:val="left" w:pos="1440" w:leader="none"/>
        </w:tabs>
        <w:rPr>
          <w:rFonts w:ascii="Times New Roman" w:hAnsi="Times New Roman" w:cs="Times New Roman"/>
        </w:rPr>
      </w:pPr>
      <w:r>
        <w:rPr>
          <w:rFonts w:cs="Times New Roman" w:ascii="Times New Roman" w:hAnsi="Times New Roman"/>
          <w:u w:val="single"/>
        </w:rPr>
        <w:t>Other Issues</w:t>
      </w:r>
    </w:p>
    <w:p>
      <w:pPr>
        <w:pStyle w:val="Normal"/>
        <w:tabs>
          <w:tab w:val="clear" w:pos="720"/>
          <w:tab w:val="left" w:pos="1440" w:leader="none"/>
        </w:tabs>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tab/>
        <w:tab/>
        <w:t>We have also discussed with you the other responsibilities or liabilities that Enron could incur by virtue of its publication of certain types of material on EOL.  In particular, Enron must ensure that material included on EOL, including statements made regarding services provided by Enron, is accurate and complete in all material respects.  In addition, to the extent that Enron uses material compiled from third party sources (such as publications, websites or pricing services), it should ensure that such material is not subject to any agreements that restrict Enron’s use of the material.  Moreover, even if no such agreements are in place or do not impose any such restrictions, materials taken from publications are likely to be subject to protection under U.S. copyright law (other than U.S. government materials, which are not subject to copyright protection) .  A copyright inheres automatically in the author of an original work of authorship upon creation of that work and the owner of a copyright is granted the exclusive right to reproduce copies of the work.  A reproduction of the copyrighted work without permission of the copyright owner is an infringement of the owner’s rights.</w:t>
      </w:r>
    </w:p>
    <w:p>
      <w:pPr>
        <w:pStyle w:val="1BulletList"/>
        <w:tabs>
          <w:tab w:val="left" w:pos="720" w:leader="none"/>
          <w:tab w:val="left" w:pos="1440" w:leader="none"/>
          <w:tab w:val="left" w:pos="2160" w:leader="none"/>
        </w:tabs>
        <w:ind w:hanging="0" w:start="0" w:end="1440"/>
        <w:rPr>
          <w:rFonts w:ascii="Times New Roman" w:hAnsi="Times New Roman" w:cs="Times New Roman"/>
        </w:rPr>
      </w:pPr>
      <w:r>
        <w:rPr>
          <w:rFonts w:cs="Times New Roman"/>
        </w:rPr>
      </w:r>
    </w:p>
    <w:p>
      <w:pPr>
        <w:pStyle w:val="Normal"/>
        <w:rPr/>
      </w:pPr>
      <w:r>
        <w:rPr/>
        <w:tab/>
        <w:tab/>
      </w:r>
      <w:r>
        <w:rPr>
          <w:rFonts w:cs="Times New Roman" w:ascii="Times New Roman" w:hAnsi="Times New Roman"/>
        </w:rPr>
        <w:t>It is possible, however, that Enron will be entitled to assert a “fair use” defense to any claim of copyright infringement that might be asserted as a result of its use of materials published by a third party.  In determining whether to allow a “fair use” defense, the courts have generally analyzed four principal factors: (1) the purpose and character of the use (i.e., commercial or non-commercial); (2) the nature of the copyrighted work (factual or fiction); (3) the portion of the work used or copied; and (4) the effect of the use on the potential market for the work.</w:t>
      </w:r>
    </w:p>
    <w:p>
      <w:pPr>
        <w:pStyle w:val="Header"/>
        <w:tabs>
          <w:tab w:val="clear" w:pos="4320"/>
          <w:tab w:val="clear" w:pos="8640"/>
        </w:tabs>
        <w:rPr>
          <w:rFonts w:ascii="Times New Roman" w:hAnsi="Times New Roman" w:cs="Times New Roman"/>
        </w:rPr>
      </w:pPr>
      <w:r>
        <w:rPr>
          <w:rFonts w:cs="Times New Roman" w:ascii="Times New Roman" w:hAnsi="Times New Roman"/>
        </w:rPr>
        <w:tab/>
        <w:tab/>
      </w:r>
    </w:p>
    <w:p>
      <w:pPr>
        <w:pStyle w:val="Normal"/>
        <w:tabs>
          <w:tab w:val="clear" w:pos="720"/>
          <w:tab w:val="left" w:pos="1440" w:leader="none"/>
        </w:tabs>
        <w:rPr/>
      </w:pPr>
      <w:r>
        <w:rPr/>
        <w:tab/>
      </w:r>
      <w:r>
        <w:rPr>
          <w:rFonts w:cs="Times New Roman" w:ascii="Times New Roman" w:hAnsi="Times New Roman"/>
        </w:rPr>
        <w:t>Although Enron’s use of material published by third parties will be commercial, it appears that Enron will have reasonable arguments on the other factors: it will generally be using a small portion of the relevant work, the work will likely be factual in nature and the use by Enron will likely not affect demand for the underlying work or, consequently, the market for the work.  Accordingly, Enron may have reasonable arguments that its use of third party material is supported by the fair use defense.  However, the status of any particular materials can only be analyzed on a case-by-case basis.</w:t>
        <w:tab/>
      </w:r>
    </w:p>
    <w:p>
      <w:pPr>
        <w:pStyle w:val="Normal"/>
        <w:tabs>
          <w:tab w:val="clear" w:pos="720"/>
          <w:tab w:val="left" w:pos="1440" w:leader="none"/>
        </w:tabs>
        <w:rPr>
          <w:rFonts w:ascii="Times New Roman" w:hAnsi="Times New Roman" w:cs="Times New Roman"/>
        </w:rPr>
      </w:pPr>
      <w:r>
        <w:rPr>
          <w:rFonts w:cs="Times New Roman" w:ascii="Times New Roman" w:hAnsi="Times New Roman"/>
        </w:rPr>
      </w:r>
    </w:p>
    <w:p>
      <w:pPr>
        <w:pStyle w:val="Normal"/>
        <w:tabs>
          <w:tab w:val="clear" w:pos="720"/>
          <w:tab w:val="left" w:pos="1440" w:leader="none"/>
        </w:tabs>
        <w:rPr>
          <w:rFonts w:ascii="Times New Roman" w:hAnsi="Times New Roman" w:cs="Times New Roman"/>
        </w:rPr>
      </w:pPr>
      <w:r>
        <w:rPr>
          <w:rFonts w:cs="Times New Roman" w:ascii="Times New Roman" w:hAnsi="Times New Roman"/>
        </w:rPr>
        <w:tab/>
        <w:t>Please call us if you have any questions on these or other issues.</w:t>
        <w:tab/>
        <w:t xml:space="preserve">      </w:t>
      </w:r>
    </w:p>
    <w:p>
      <w:pPr>
        <w:pStyle w:val="Normal"/>
        <w:tabs>
          <w:tab w:val="clear" w:pos="720"/>
          <w:tab w:val="left" w:pos="1440" w:leader="none"/>
        </w:tabs>
        <w:rPr>
          <w:rFonts w:ascii="Times New Roman" w:hAnsi="Times New Roman" w:cs="Times New Roman"/>
        </w:rPr>
      </w:pPr>
      <w:r>
        <w:rPr>
          <w:rFonts w:cs="Times New Roman" w:ascii="Times New Roman" w:hAnsi="Times New Roman"/>
        </w:rPr>
      </w:r>
    </w:p>
    <w:p>
      <w:pPr>
        <w:pStyle w:val="Normal"/>
        <w:tabs>
          <w:tab w:val="clear" w:pos="720"/>
          <w:tab w:val="left" w:pos="1440" w:leader="none"/>
        </w:tabs>
        <w:rPr>
          <w:rFonts w:ascii="Times New Roman" w:hAnsi="Times New Roman" w:cs="Times New Roman"/>
        </w:rPr>
      </w:pPr>
      <w:r>
        <w:rPr>
          <w:rFonts w:cs="Times New Roman" w:ascii="Times New Roman" w:hAnsi="Times New Roman"/>
        </w:rPr>
        <w:tab/>
        <w:tab/>
        <w:tab/>
        <w:tab/>
        <w:tab/>
        <w:tab/>
        <w:tab/>
        <w:t>K.M.R.</w:t>
      </w:r>
    </w:p>
    <w:p>
      <w:pPr>
        <w:pStyle w:val="Normal"/>
        <w:rPr>
          <w:rFonts w:ascii="Times New Roman" w:hAnsi="Times New Roman" w:cs="Times New Roman"/>
        </w:rPr>
      </w:pPr>
      <w:r>
        <w:rPr>
          <w:rFonts w:cs="Times New Roman" w:ascii="Times New Roman" w:hAnsi="Times New Roman"/>
        </w:rPr>
        <w:tab/>
        <w:tab/>
        <w:tab/>
        <w:tab/>
        <w:tab/>
        <w:tab/>
        <w:tab/>
        <w:tab/>
        <w:t>D.J.G.</w:t>
      </w:r>
    </w:p>
    <w:sectPr>
      <w:headerReference w:type="default" r:id="rId2"/>
      <w:headerReference w:type="first" r:id="rId3"/>
      <w:footerReference w:type="default" r:id="rId4"/>
      <w:footerReference w:type="first" r:id="rId5"/>
      <w:footnotePr>
        <w:numFmt w:val="decimal"/>
      </w:footnotePr>
      <w:type w:val="nextPage"/>
      <w:pgSz w:w="12240" w:h="15840"/>
      <w:pgMar w:left="2160" w:right="1440" w:gutter="0" w:header="720" w:top="1915" w:footer="965" w:bottom="1440"/>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ourier New">
    <w:charset w:val="00" w:characterSet="windows-1252"/>
    <w:family w:val="modern"/>
    <w:pitch w:val="default"/>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r>
      <mc:AlternateContent>
        <mc:Choice Requires="wps">
          <w:drawing>
            <wp:anchor behindDoc="0" distT="0" distB="0" distL="0" distR="0" simplePos="0" locked="0" layoutInCell="0" allowOverlap="1" relativeHeight="4">
              <wp:simplePos x="0" y="0"/>
              <wp:positionH relativeFrom="margin">
                <wp:align>center</wp:align>
              </wp:positionH>
              <wp:positionV relativeFrom="paragraph">
                <wp:posOffset>635</wp:posOffset>
              </wp:positionV>
              <wp:extent cx="274955" cy="172720"/>
              <wp:effectExtent l="0" t="0" r="0" b="0"/>
              <wp:wrapSquare wrapText="bothSides"/>
              <wp:docPr id="1" name="Frame1"/>
              <a:graphic xmlns:a="http://schemas.openxmlformats.org/drawingml/2006/main">
                <a:graphicData uri="http://schemas.microsoft.com/office/word/2010/wordprocessingShape">
                  <wps:wsp>
                    <wps:cNvSpPr txBox="1"/>
                    <wps:spPr>
                      <a:xfrm>
                        <a:off x="0" y="0"/>
                        <a:ext cx="274955" cy="172720"/>
                      </a:xfrm>
                      <a:prstGeom prst="rect"/>
                      <a:solidFill>
                        <a:srgbClr val="FFFFFF">
                          <a:alpha val="0"/>
                        </a:srgbClr>
                      </a:solidFill>
                    </wps:spPr>
                    <wps:txbx>
                      <w:txbxContent>
                        <w:p>
                          <w:pPr>
                            <w:pStyle w:val="Footer"/>
                            <w:rPr>
                              <w:rStyle w:val="PageNumber"/>
                            </w:rPr>
                          </w:pPr>
                          <w:r>
                            <w:rPr>
                              <w:rStyle w:val="PageNumber"/>
                            </w:rPr>
                            <w:t>-</w:t>
                          </w: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r>
                            <w:rPr>
                              <w:rStyle w:val="PageNumber"/>
                            </w:rPr>
                            <w:t>-</w:t>
                          </w:r>
                        </w:p>
                      </w:txbxContent>
                    </wps:txbx>
                    <wps:bodyPr anchor="t" lIns="0" tIns="0" rIns="0" bIns="0">
                      <a:noAutofit/>
                    </wps:bodyPr>
                  </wps:wsp>
                </a:graphicData>
              </a:graphic>
            </wp:anchor>
          </w:drawing>
        </mc:Choice>
        <mc:Fallback>
          <w:pict>
            <v:rect fillcolor="#FFFFFF" style="position:absolute;rotation:-0;width:21.65pt;height:13.6pt;mso-wrap-distance-left:0pt;mso-wrap-distance-right:0pt;mso-wrap-distance-top:0pt;mso-wrap-distance-bottom:0pt;margin-top:0.05pt;mso-position-vertical-relative:text;margin-left:205.2pt;mso-position-horizontal:center;mso-position-horizontal-relative:margin">
              <v:fill opacity="0f"/>
              <v:textbox inset="0in,0in,0in,0in">
                <w:txbxContent>
                  <w:p>
                    <w:pPr>
                      <w:pStyle w:val="Footer"/>
                      <w:rPr>
                        <w:rStyle w:val="PageNumber"/>
                      </w:rPr>
                    </w:pPr>
                    <w:r>
                      <w:rPr>
                        <w:rStyle w:val="PageNumber"/>
                      </w:rPr>
                      <w:t>-</w:t>
                    </w: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r>
                      <w:rPr>
                        <w:rStyle w:val="PageNumber"/>
                      </w:rPr>
                      <w:t>-</w:t>
                    </w:r>
                  </w:p>
                </w:txbxContent>
              </v:textbox>
              <w10:wrap type="square"/>
            </v:rect>
          </w:pict>
        </mc:Fallback>
      </mc:AlternateConten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notes.xml><?xml version="1.0" encoding="utf-8"?>
<w:foot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footnote w:id="0" w:type="separator">
    <w:p>
      <w:r>
        <w:separator/>
      </w:r>
    </w:p>
  </w:footnote>
  <w:footnote w:id="1" w:type="continuationSeparator">
    <w:p>
      <w:r>
        <w:continuationSeparator/>
      </w:r>
    </w:p>
  </w:footnote>
  <w:footnote w:id="2">
    <w:p>
      <w:pPr>
        <w:pStyle w:val="FootnoteText"/>
        <w:rPr/>
      </w:pPr>
      <w:r>
        <w:rPr>
          <w:rStyle w:val="FootnoteCharacters"/>
        </w:rPr>
        <w:t></w:t>
      </w:r>
      <w:r>
        <w:rPr>
          <w:rFonts w:eastAsia="Courier New"/>
        </w:rPr>
        <w:t xml:space="preserve"> </w:t>
      </w:r>
      <w:r>
        <w:rPr/>
        <w:tab/>
      </w:r>
      <w:r>
        <w:rPr>
          <w:rFonts w:cs="Times New Roman" w:ascii="Times New Roman" w:hAnsi="Times New Roman"/>
        </w:rPr>
        <w:t xml:space="preserve">Because “swap agreements” are excluded from most provisions of the CEA and CFTC rules (including the registration requirements), pursuant to the swaps exemption set forth in Part 35 of the CFTC’s rules, advice with respect to such transactions would not trigger a CTA registration requirement.  Other types of over-the-counter instruments, however, such as options on physical commodities, are not eligible for the swaps exemption and advice with respect to these types of instruments could therefore result in the person rendering the advice being required to register as a CTA. </w:t>
      </w:r>
    </w:p>
  </w:footnote>
</w:footnote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tab/>
      <w:tab/>
    </w:r>
    <w:r>
      <w:rPr>
        <w:rFonts w:cs="Times New Roman" w:ascii="Times New Roman" w:hAnsi="Times New Roman"/>
      </w:rPr>
      <w:t>Draft of June 28, 2000</w:t>
      <w:tab/>
      <w:tab/>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decimal"/>
      <w:lvlText w:val="%1."/>
      <w:lvlJc w:val="start"/>
      <w:pPr>
        <w:tabs>
          <w:tab w:val="num" w:pos="2160"/>
        </w:tabs>
        <w:ind w:start="2160" w:hanging="720"/>
      </w:pPr>
      <w:rPr/>
    </w:lvl>
  </w:abstractNum>
  <w:num w:numId="1">
    <w:abstractNumId w:val="1"/>
  </w:num>
  <w:num w:numId="2">
    <w:abstractNumId w:val="2"/>
  </w:num>
</w:numbering>
</file>

<file path=word/settings.xml><?xml version="1.0" encoding="utf-8"?>
<w:settings xmlns:w="http://schemas.openxmlformats.org/wordprocessingml/2006/main">
  <w:zoom w:val="bestFit" w:percent="20"/>
  <w:defaultTabStop w:val="720"/>
  <w:autoHyphenation w:val="true"/>
  <w:hyphenationZone w:val="0"/>
  <w:footnotePr>
    <w:numFmt w:val="decimal"/>
    <w:footnote w:id="0"/>
    <w:footnote w:id="1"/>
  </w:footnotePr>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Courier New" w:hAnsi="Courier New" w:eastAsia="Times New Roman" w:cs="Courier New"/>
      <w:color w:val="auto"/>
      <w:sz w:val="24"/>
      <w:szCs w:val="20"/>
      <w:lang w:val="en-US" w:eastAsia="zh-CN" w:bidi="hi-IN"/>
    </w:rPr>
  </w:style>
  <w:style w:type="paragraph" w:styleId="Heading1">
    <w:name w:val="heading 1"/>
    <w:basedOn w:val="Normal"/>
    <w:next w:val="Normal"/>
    <w:qFormat/>
    <w:pPr>
      <w:keepNext w:val="true"/>
      <w:numPr>
        <w:ilvl w:val="0"/>
        <w:numId w:val="1"/>
      </w:numPr>
      <w:outlineLvl w:val="0"/>
    </w:pPr>
    <w:rPr>
      <w:rFonts w:ascii="Times New Roman" w:hAnsi="Times New Roman" w:cs="Times New Roman"/>
      <w:sz w:val="20"/>
      <w:u w:val="single"/>
    </w:rPr>
  </w:style>
  <w:style w:type="paragraph" w:styleId="Heading3">
    <w:name w:val="heading 3"/>
    <w:basedOn w:val="Normal"/>
    <w:next w:val="Normal"/>
    <w:qFormat/>
    <w:pPr>
      <w:keepNext w:val="true"/>
      <w:numPr>
        <w:ilvl w:val="2"/>
        <w:numId w:val="1"/>
      </w:numPr>
      <w:spacing w:before="240" w:after="60"/>
      <w:outlineLvl w:val="2"/>
    </w:pPr>
    <w:rPr/>
  </w:style>
  <w:style w:type="character" w:styleId="WW8Num2z0">
    <w:name w:val="WW8Num2z0"/>
    <w:qFormat/>
    <w:rPr>
      <w:rFonts w:ascii="Symbol" w:hAnsi="Symbol" w:cs="Symbol"/>
    </w:rPr>
  </w:style>
  <w:style w:type="character" w:styleId="WW8Num5z0">
    <w:name w:val="WW8Num5z0"/>
    <w:qFormat/>
    <w:rPr/>
  </w:style>
  <w:style w:type="character" w:styleId="WW8Num7z0">
    <w:name w:val="WW8Num7z0"/>
    <w:qFormat/>
    <w:rPr/>
  </w:style>
  <w:style w:type="character" w:styleId="WW8Num8z0">
    <w:name w:val="WW8Num8z0"/>
    <w:qFormat/>
    <w:rPr>
      <w:rFonts w:ascii="Symbol" w:hAnsi="Symbol" w:cs="Symbol"/>
    </w:rPr>
  </w:style>
  <w:style w:type="character" w:styleId="WW8Num9z0">
    <w:name w:val="WW8Num9z0"/>
    <w:qFormat/>
    <w:rPr>
      <w:rFonts w:ascii="Symbol" w:hAnsi="Symbol" w:cs="Symbol"/>
    </w:rPr>
  </w:style>
  <w:style w:type="character" w:styleId="WW8Num11z0">
    <w:name w:val="WW8Num11z0"/>
    <w:qFormat/>
    <w:rPr>
      <w:rFonts w:ascii="Symbol" w:hAnsi="Symbol" w:cs="Symbol"/>
    </w:rPr>
  </w:style>
  <w:style w:type="character" w:styleId="WW8Num12z0">
    <w:name w:val="WW8Num12z0"/>
    <w:qFormat/>
    <w:rPr/>
  </w:style>
  <w:style w:type="character" w:styleId="DefaultParagraphFont">
    <w:name w:val="Default Paragraph Font"/>
    <w:qFormat/>
    <w:rPr/>
  </w:style>
  <w:style w:type="character" w:styleId="PageNumber">
    <w:name w:val="page number"/>
    <w:basedOn w:val="DefaultParagraphFont"/>
    <w:rPr/>
  </w:style>
  <w:style w:type="character" w:styleId="FootnoteCharacters">
    <w:name w:val="Footnote Characters"/>
    <w:basedOn w:val="DefaultParagraphFont"/>
    <w:qFormat/>
    <w:rPr>
      <w:vertAlign w:val="superscript"/>
    </w:rPr>
  </w:style>
  <w:style w:type="character" w:styleId="FootnoteReference">
    <w:name w:val="footnote reference"/>
    <w:rPr>
      <w:vertAlign w:val="superscript"/>
    </w:rPr>
  </w:style>
  <w:style w:type="character" w:styleId="EndnoteReference">
    <w:name w:val="endnote reference"/>
    <w:rPr>
      <w:vertAlign w:val="superscript"/>
    </w:rPr>
  </w:style>
  <w:style w:type="character" w:styleId="EndnoteCharacters">
    <w:name w:val="Endnote Characters"/>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SCTitle">
    <w:name w:val="S&amp;C Title"/>
    <w:basedOn w:val="Normal"/>
    <w:qFormat/>
    <w:pPr>
      <w:tabs>
        <w:tab w:val="clear" w:pos="720"/>
        <w:tab w:val="left" w:pos="630" w:leader="none"/>
      </w:tabs>
      <w:ind w:hanging="0" w:start="-720" w:end="0"/>
    </w:pPr>
    <w:rPr>
      <w:rFonts w:ascii="Times New Roman" w:hAnsi="Times New Roman" w:cs="Times New Roman"/>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FootnoteText">
    <w:name w:val="footnote text"/>
    <w:basedOn w:val="Normal"/>
    <w:pPr/>
    <w:rPr/>
  </w:style>
  <w:style w:type="paragraph" w:styleId="BodyTextIndent">
    <w:name w:val="Body Text Indent"/>
    <w:basedOn w:val="Normal"/>
    <w:pPr>
      <w:tabs>
        <w:tab w:val="clear" w:pos="720"/>
        <w:tab w:val="left" w:pos="1440" w:leader="none"/>
      </w:tabs>
      <w:ind w:firstLine="720" w:start="0" w:end="0"/>
    </w:pPr>
    <w:rPr>
      <w:rFonts w:ascii="Times New Roman" w:hAnsi="Times New Roman" w:cs="Times New Roman"/>
    </w:rPr>
  </w:style>
  <w:style w:type="paragraph" w:styleId="BlockText">
    <w:name w:val="Block Text"/>
    <w:basedOn w:val="Normal"/>
    <w:qFormat/>
    <w:pPr>
      <w:ind w:hanging="0" w:start="1440" w:end="1440"/>
    </w:pPr>
    <w:rPr>
      <w:rFonts w:ascii="Times New Roman" w:hAnsi="Times New Roman" w:cs="Times New Roman"/>
    </w:rPr>
  </w:style>
  <w:style w:type="paragraph" w:styleId="BodyTextIndent2">
    <w:name w:val="Body Text Indent 2"/>
    <w:basedOn w:val="Normal"/>
    <w:qFormat/>
    <w:pPr>
      <w:tabs>
        <w:tab w:val="clear" w:pos="720"/>
        <w:tab w:val="left" w:pos="1440" w:leader="none"/>
      </w:tabs>
      <w:ind w:firstLine="810" w:start="0" w:end="0"/>
    </w:pPr>
    <w:rPr>
      <w:rFonts w:ascii="Times New Roman" w:hAnsi="Times New Roman" w:cs="Times New Roman"/>
    </w:rPr>
  </w:style>
  <w:style w:type="paragraph" w:styleId="1BulletList">
    <w:name w:val="1Bullet List"/>
    <w:qFormat/>
    <w:pPr>
      <w:widowControl/>
      <w:tabs>
        <w:tab w:val="left" w:pos="720" w:leader="none"/>
      </w:tabs>
      <w:bidi w:val="0"/>
      <w:ind w:hanging="720" w:start="720" w:end="0"/>
    </w:pPr>
    <w:rPr>
      <w:rFonts w:ascii="Times New Roman" w:hAnsi="Times New Roman" w:eastAsia="Times New Roman" w:cs="Times New Roman"/>
      <w:color w:val="auto"/>
      <w:sz w:val="24"/>
      <w:szCs w:val="20"/>
      <w:lang w:val="en-US" w:eastAsia="en-US" w:bidi="hi-IN"/>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paragraph" w:styleId="FrameContents">
    <w:name w:val="Frame Contents"/>
    <w:basedOn w:val="Normal"/>
    <w:qFormat/>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footnotes" Target="footnotes.xml"/><Relationship Id="rId7" Type="http://schemas.openxmlformats.org/officeDocument/2006/relationships/numbering" Target="numbering.xml"/><Relationship Id="rId8" Type="http://schemas.openxmlformats.org/officeDocument/2006/relationships/fontTable" Target="fontTable.xml"/><Relationship Id="rId9" Type="http://schemas.openxmlformats.org/officeDocument/2006/relationships/settings" Target="settings.xml"/><Relationship Id="rId10"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ExternalMemo</Template>
  <TotalTime>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2000-06-28T18:09:00Z</dcterms:created>
  <dc:creator>For Help Call PC Support x4277</dc:creator>
  <dc:description/>
  <dc:language>en-CA</dc:language>
  <cp:lastModifiedBy>For Help Call PC Support x4277</cp:lastModifiedBy>
  <cp:lastPrinted>2000-06-27T11:33:00Z</cp:lastPrinted>
  <dcterms:modified xsi:type="dcterms:W3CDTF">2000-06-28T18:09:00Z</dcterms:modified>
  <cp:revision>2</cp:revision>
  <dc:subject/>
  <dc:title>SULLIVAN &amp; CROMWELL</dc:title>
</cp:coreProperties>
</file>