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CORP.</w:t>
      </w:r>
    </w:p>
    <w:p>
      <w:pPr>
        <w:pStyle w:val="Normal"/>
        <w:jc w:val="center"/>
        <w:rPr>
          <w:sz w:val="28"/>
        </w:rPr>
      </w:pPr>
      <w:r>
        <w:rPr>
          <w:sz w:val="28"/>
        </w:rPr>
        <w:t>&amp;</w:t>
      </w:r>
    </w:p>
    <w:p>
      <w:pPr>
        <w:pStyle w:val="Normal"/>
        <w:jc w:val="center"/>
        <w:rPr>
          <w:sz w:val="28"/>
        </w:rPr>
      </w:pPr>
      <w:r>
        <w:rPr>
          <w:sz w:val="28"/>
        </w:rPr>
        <w:t>TRACTEBEL ENERGY MARKETING INC.</w:t>
      </w:r>
    </w:p>
    <w:p>
      <w:pPr>
        <w:pStyle w:val="Normal"/>
        <w:jc w:val="center"/>
        <w:rPr>
          <w:sz w:val="28"/>
        </w:rPr>
      </w:pPr>
      <w:r>
        <w:rPr>
          <w:sz w:val="28"/>
        </w:rPr>
      </w:r>
    </w:p>
    <w:p>
      <w:pPr>
        <w:pStyle w:val="Heading6"/>
        <w:ind w:hanging="0" w:start="0"/>
        <w:rPr/>
      </w:pPr>
      <w:r>
        <w:rPr/>
        <w:t>INDICATIVE POWER PURCHASE AGREEMENT PROPOSAL</w:t>
      </w:r>
    </w:p>
    <w:p>
      <w:pPr>
        <w:pStyle w:val="Normal"/>
        <w:jc w:val="center"/>
        <w:rPr>
          <w:b/>
          <w:bCs/>
          <w:sz w:val="22"/>
        </w:rPr>
      </w:pPr>
      <w:r>
        <w:rPr>
          <w:b/>
          <w:bCs/>
          <w:sz w:val="22"/>
        </w:rPr>
        <w:t>(FOR DISCUSSION PURPOSES ONLY)</w:t>
      </w:r>
    </w:p>
    <w:p>
      <w:pPr>
        <w:pStyle w:val="BodyText"/>
        <w:rPr>
          <w:sz w:val="24"/>
        </w:rPr>
      </w:pPr>
      <w:r>
        <w:rPr>
          <w:sz w:val="24"/>
        </w:rPr>
        <w:t xml:space="preserve">Tractebel Energy Marketing Inc. (TEMI) is pleased to offer the following indicative proposal to Enron Corp. This proposal is subject to prior credit approval by TEMI and prior approval by the TEMI Board of Directors. In addition, this proposal is subject to the Confidentiality Agreement between TEMI and Enron. </w:t>
      </w:r>
    </w:p>
    <w:p>
      <w:pPr>
        <w:pStyle w:val="BodyText"/>
        <w:rPr>
          <w:sz w:val="24"/>
        </w:rPr>
      </w:pPr>
      <w:r>
        <w:rPr>
          <w:sz w:val="24"/>
        </w:rPr>
      </w:r>
    </w:p>
    <w:p>
      <w:pPr>
        <w:pStyle w:val="Normal"/>
        <w:ind w:hanging="2880" w:start="2880" w:end="0"/>
        <w:jc w:val="both"/>
        <w:rPr/>
      </w:pPr>
      <w:r>
        <w:rPr>
          <w:b/>
        </w:rPr>
        <w:t>Parties</w:t>
      </w:r>
      <w:r>
        <w:rPr/>
        <w:tab/>
        <w:tab/>
        <w:tab/>
        <w:tab/>
        <w:t>Tractebel Power Inc. ("Seller") and  Enron (“Buyer”).</w:t>
      </w:r>
    </w:p>
    <w:p>
      <w:pPr>
        <w:pStyle w:val="Normal"/>
        <w:ind w:hanging="2880" w:start="2880" w:end="0"/>
        <w:jc w:val="both"/>
        <w:rPr/>
      </w:pPr>
      <w:r>
        <w:rPr/>
      </w:r>
    </w:p>
    <w:p>
      <w:pPr>
        <w:pStyle w:val="Normal"/>
        <w:ind w:hanging="2880" w:start="2880" w:end="0"/>
        <w:jc w:val="both"/>
        <w:rPr/>
      </w:pPr>
      <w:r>
        <w:rPr>
          <w:b/>
        </w:rPr>
        <w:t>Term</w:t>
        <w:tab/>
        <w:tab/>
        <w:tab/>
        <w:tab/>
      </w:r>
      <w:r>
        <w:rPr/>
        <w:t>July 15, 2001 through October 30, 2001.</w:t>
      </w:r>
    </w:p>
    <w:p>
      <w:pPr>
        <w:pStyle w:val="Normal"/>
        <w:ind w:hanging="2880" w:start="2880" w:end="0"/>
        <w:jc w:val="both"/>
        <w:rPr>
          <w:b/>
        </w:rPr>
      </w:pPr>
      <w:r>
        <w:rPr>
          <w:b/>
        </w:rPr>
      </w:r>
    </w:p>
    <w:p>
      <w:pPr>
        <w:pStyle w:val="Normal"/>
        <w:ind w:hanging="2880" w:start="2880" w:end="0"/>
        <w:jc w:val="both"/>
        <w:rPr/>
      </w:pPr>
      <w:r>
        <w:rPr>
          <w:b/>
        </w:rPr>
        <w:t>Quantity</w:t>
        <w:tab/>
        <w:tab/>
        <w:tab/>
      </w:r>
      <w:r>
        <w:rPr/>
        <w:t xml:space="preserve">Up to 330MW of Start – Up power.  Firm power to be delivered in the new market.  If replacement power is necessary, it must be delivered to the North Zone with Seller responsible for balancing energy costs. </w:t>
      </w:r>
    </w:p>
    <w:p>
      <w:pPr>
        <w:pStyle w:val="Normal"/>
        <w:ind w:hanging="2880" w:start="2880" w:end="0"/>
        <w:jc w:val="both"/>
        <w:rPr>
          <w:b/>
        </w:rPr>
      </w:pPr>
      <w:r>
        <w:rPr>
          <w:b/>
        </w:rPr>
      </w:r>
    </w:p>
    <w:p>
      <w:pPr>
        <w:pStyle w:val="Normal"/>
        <w:ind w:hanging="2880" w:start="2880" w:end="0"/>
        <w:jc w:val="both"/>
        <w:rPr/>
      </w:pPr>
      <w:r>
        <w:rPr>
          <w:b/>
        </w:rPr>
        <w:t>Notice</w:t>
        <w:tab/>
        <w:tab/>
        <w:tab/>
        <w:tab/>
      </w:r>
      <w:r>
        <w:rPr>
          <w:bCs/>
        </w:rPr>
        <w:t>Seller shall notify buyer no later than 6:45</w:t>
      </w:r>
      <w:r>
        <w:rPr>
          <w:b/>
        </w:rPr>
        <w:t xml:space="preserve"> </w:t>
      </w:r>
      <w:r>
        <w:rPr>
          <w:bCs/>
        </w:rPr>
        <w:t>AM (CPT) of estimated schedule of available energy for next day.</w:t>
      </w:r>
    </w:p>
    <w:p>
      <w:pPr>
        <w:pStyle w:val="Normal"/>
        <w:ind w:hanging="2880" w:start="2880" w:end="0"/>
        <w:jc w:val="both"/>
        <w:rPr>
          <w:b/>
          <w:bCs/>
        </w:rPr>
      </w:pPr>
      <w:r>
        <w:rPr>
          <w:b/>
          <w:bCs/>
        </w:rPr>
      </w:r>
    </w:p>
    <w:p>
      <w:pPr>
        <w:pStyle w:val="Normal"/>
        <w:ind w:hanging="2880" w:start="2880" w:end="0"/>
        <w:jc w:val="both"/>
        <w:rPr>
          <w:b/>
          <w:i/>
          <w:i/>
        </w:rPr>
      </w:pPr>
      <w:r>
        <w:rPr>
          <w:b/>
        </w:rPr>
        <w:t>Availability</w:t>
      </w:r>
      <w:r>
        <w:rPr/>
        <w:tab/>
        <w:tab/>
        <w:tab/>
        <w:t>As available, at Enron’s option to exercise prior to 8:00 AM (CPT) day ahead.  If Buyer does not exercise option on Start-Up power, Buyer shall offer marketing services to Seller without taking title to power (QSE services).</w:t>
      </w:r>
    </w:p>
    <w:p>
      <w:pPr>
        <w:pStyle w:val="Normal"/>
        <w:ind w:hanging="2880" w:start="2880" w:end="0"/>
        <w:jc w:val="both"/>
        <w:rPr>
          <w:b/>
          <w:i/>
          <w:i/>
        </w:rPr>
      </w:pPr>
      <w:r>
        <w:rPr>
          <w:b/>
          <w:i/>
        </w:rPr>
      </w:r>
    </w:p>
    <w:p>
      <w:pPr>
        <w:pStyle w:val="Normal"/>
        <w:ind w:hanging="2880" w:start="2880" w:end="0"/>
        <w:jc w:val="both"/>
        <w:rPr/>
      </w:pPr>
      <w:r>
        <w:rPr>
          <w:b/>
        </w:rPr>
        <w:t xml:space="preserve">Scheduling </w:t>
        <w:tab/>
        <w:tab/>
        <w:tab/>
      </w:r>
      <w:r>
        <w:rPr/>
        <w:t>Day-ahead (daily pre-scheduled prior to 11:00 AM (CPT) prior business day), hour-ahead, and real-time scheduling subject to dispatching capability of the plant.</w:t>
      </w:r>
    </w:p>
    <w:p>
      <w:pPr>
        <w:pStyle w:val="Normal"/>
        <w:ind w:hanging="2880" w:start="2880" w:end="0"/>
        <w:jc w:val="both"/>
        <w:rPr>
          <w:b/>
        </w:rPr>
      </w:pPr>
      <w:r>
        <w:rPr>
          <w:b/>
        </w:rPr>
      </w:r>
    </w:p>
    <w:p>
      <w:pPr>
        <w:pStyle w:val="Normal"/>
        <w:ind w:hanging="2880" w:start="2880" w:end="0"/>
        <w:jc w:val="both"/>
        <w:rPr/>
      </w:pPr>
      <w:r>
        <w:rPr>
          <w:b/>
        </w:rPr>
        <w:t>Energy Price</w:t>
        <w:tab/>
        <w:tab/>
        <w:tab/>
      </w:r>
      <w:r>
        <w:rPr/>
        <w:t>Energy billed pursuant to the daily HSC natural gas index close multiplied by the heat rate schedule in Attachment A.</w:t>
      </w:r>
    </w:p>
    <w:p>
      <w:pPr>
        <w:pStyle w:val="Normal"/>
        <w:ind w:hanging="2880" w:start="2880" w:end="0"/>
        <w:jc w:val="both"/>
        <w:rPr>
          <w:b/>
        </w:rPr>
      </w:pPr>
      <w:r>
        <w:rPr>
          <w:b/>
        </w:rPr>
        <w:tab/>
        <w:tab/>
        <w:tab/>
        <w:tab/>
      </w:r>
    </w:p>
    <w:p>
      <w:pPr>
        <w:pStyle w:val="Normal"/>
        <w:ind w:hanging="2880" w:start="2880" w:end="0"/>
        <w:jc w:val="both"/>
        <w:rPr/>
      </w:pPr>
      <w:r>
        <w:rPr/>
      </w:r>
    </w:p>
    <w:p>
      <w:pPr>
        <w:pStyle w:val="Normal"/>
        <w:ind w:hanging="2880" w:start="2880" w:end="0"/>
        <w:jc w:val="both"/>
        <w:rPr/>
      </w:pPr>
      <w:r>
        <w:rPr>
          <w:b/>
        </w:rPr>
        <w:t>Delivery Point</w:t>
      </w:r>
      <w:r>
        <w:rPr/>
        <w:tab/>
        <w:tab/>
        <w:t>Delivery Point shall refer to the high voltage terminals of the main station transformers at the project where capacity and energy are delivered to Enron.</w:t>
      </w:r>
    </w:p>
    <w:p>
      <w:pPr>
        <w:pStyle w:val="Normal"/>
        <w:ind w:hanging="2880" w:start="2880" w:end="0"/>
        <w:jc w:val="both"/>
        <w:rPr/>
      </w:pPr>
      <w:r>
        <w:rPr/>
      </w:r>
    </w:p>
    <w:p>
      <w:pPr>
        <w:pStyle w:val="Normal"/>
        <w:ind w:hanging="2880" w:start="2880" w:end="0"/>
        <w:jc w:val="both"/>
        <w:rPr/>
      </w:pPr>
      <w:r>
        <w:rPr>
          <w:b/>
        </w:rPr>
        <w:t>Other</w:t>
        <w:tab/>
        <w:tab/>
        <w:tab/>
        <w:tab/>
      </w:r>
      <w:r>
        <w:rPr/>
        <w:t>Subject to satisfactory negotiation of additional terms, including but not limited to, those relating to dispatch, availability, and nature of service.</w:t>
      </w:r>
    </w:p>
    <w:p>
      <w:pPr>
        <w:pStyle w:val="Normal"/>
        <w:ind w:hanging="2880" w:start="2880" w:end="0"/>
        <w:jc w:val="both"/>
        <w:rPr>
          <w:b/>
        </w:rPr>
      </w:pPr>
      <w:r>
        <w:rPr>
          <w:b/>
        </w:rPr>
      </w:r>
    </w:p>
    <w:p>
      <w:pPr>
        <w:pStyle w:val="Normal"/>
        <w:ind w:hanging="2880" w:start="2880" w:end="0"/>
        <w:jc w:val="both"/>
        <w:rPr>
          <w:b/>
        </w:rPr>
      </w:pPr>
      <w:r>
        <w:rPr>
          <w:b/>
        </w:rPr>
      </w:r>
    </w:p>
    <w:p>
      <w:pPr>
        <w:pStyle w:val="Normal"/>
        <w:ind w:hanging="2880" w:start="2880" w:end="0"/>
        <w:jc w:val="both"/>
        <w:rPr/>
      </w:pPr>
      <w:r>
        <w:rPr>
          <w:b/>
        </w:rPr>
        <w:t>Confidentiality</w:t>
      </w:r>
      <w:r>
        <w:rPr/>
        <w:tab/>
        <w:tab/>
        <w:t>This proposal is submitted confidentially to Buyer and may not be disclosed to any other party.</w:t>
      </w:r>
    </w:p>
    <w:p>
      <w:pPr>
        <w:pStyle w:val="Normal"/>
        <w:ind w:hanging="2880" w:start="2880" w:end="0"/>
        <w:jc w:val="both"/>
        <w:rPr>
          <w:b/>
        </w:rPr>
      </w:pPr>
      <w:r>
        <w:rPr>
          <w:b/>
        </w:rPr>
      </w:r>
    </w:p>
    <w:p>
      <w:pPr>
        <w:pStyle w:val="Normal"/>
        <w:ind w:hanging="2880" w:start="2880" w:end="0"/>
        <w:jc w:val="both"/>
        <w:rPr>
          <w:b/>
        </w:rPr>
      </w:pPr>
      <w:r>
        <w:rPr>
          <w:b/>
        </w:rPr>
      </w:r>
    </w:p>
    <w:p>
      <w:pPr>
        <w:pStyle w:val="Normal"/>
        <w:ind w:hanging="2880" w:start="2880" w:end="0"/>
        <w:jc w:val="both"/>
        <w:rPr/>
      </w:pPr>
      <w:r>
        <w:rPr/>
      </w:r>
    </w:p>
    <w:p>
      <w:pPr>
        <w:pStyle w:val="Normal"/>
        <w:ind w:hanging="2880" w:start="2880" w:end="0"/>
        <w:jc w:val="both"/>
        <w:rPr/>
      </w:pPr>
      <w:r>
        <w:rPr/>
      </w:r>
    </w:p>
    <w:p>
      <w:pPr>
        <w:pStyle w:val="Normal"/>
        <w:ind w:hanging="2880" w:start="2880" w:end="0"/>
        <w:jc w:val="both"/>
        <w:rPr/>
      </w:pPr>
      <w:r>
        <w:rPr/>
      </w:r>
    </w:p>
    <w:p>
      <w:pPr>
        <w:pStyle w:val="Normal"/>
        <w:ind w:hanging="2880" w:start="2880" w:end="0"/>
        <w:jc w:val="both"/>
        <w:rPr/>
      </w:pPr>
      <w:r>
        <w:rPr/>
      </w:r>
    </w:p>
    <w:p>
      <w:pPr>
        <w:pStyle w:val="Normal"/>
        <w:ind w:hanging="2880" w:start="2880" w:end="0"/>
        <w:jc w:val="both"/>
        <w:rPr/>
      </w:pPr>
      <w:r>
        <w:rPr/>
      </w:r>
    </w:p>
    <w:p>
      <w:pPr>
        <w:pStyle w:val="Normal"/>
        <w:ind w:hanging="2880" w:start="2880" w:end="0"/>
        <w:jc w:val="both"/>
        <w:rPr/>
      </w:pPr>
      <w:r>
        <w:rPr/>
      </w:r>
    </w:p>
    <w:p>
      <w:pPr>
        <w:pStyle w:val="Normal"/>
        <w:jc w:val="both"/>
        <w:rPr/>
      </w:pPr>
      <w:r>
        <w:rPr/>
      </w:r>
    </w:p>
    <w:p>
      <w:pPr>
        <w:pStyle w:val="Normal"/>
        <w:jc w:val="both"/>
        <w:rPr/>
      </w:pPr>
      <w:r>
        <w:rPr/>
      </w:r>
    </w:p>
    <w:p>
      <w:pPr>
        <w:pStyle w:val="Normal"/>
        <w:ind w:hanging="2880" w:start="2880" w:end="0"/>
        <w:jc w:val="both"/>
        <w:rPr/>
      </w:pPr>
      <w:r>
        <w:rPr/>
        <w:tab/>
        <w:tab/>
        <w:tab/>
        <w:tab/>
        <w:tab/>
        <w:tab/>
        <w:tab/>
        <w:tab/>
        <w:tab/>
        <w:tab/>
        <w:tab/>
        <w:tab/>
        <w:t>Enron</w:t>
      </w:r>
      <w:r>
        <w:rPr>
          <w:color w:val="0000FF"/>
        </w:rPr>
        <w:t xml:space="preserve"> </w:t>
      </w:r>
      <w:r>
        <w:rPr/>
        <w:t>Proposal</w:t>
      </w:r>
    </w:p>
    <w:p>
      <w:pPr>
        <w:pStyle w:val="Normal"/>
        <w:ind w:hanging="2880" w:start="2880" w:end="0"/>
        <w:jc w:val="both"/>
        <w:rPr/>
      </w:pPr>
      <w:r>
        <w:rPr/>
      </w:r>
    </w:p>
    <w:p>
      <w:pPr>
        <w:pStyle w:val="Normal"/>
        <w:ind w:hanging="2880" w:start="2880" w:end="0"/>
        <w:jc w:val="both"/>
        <w:rPr/>
      </w:pPr>
      <w:r>
        <w:rPr/>
      </w:r>
    </w:p>
    <w:p>
      <w:pPr>
        <w:pStyle w:val="Heading7"/>
        <w:rPr/>
      </w:pPr>
      <w:r>
        <w:rPr/>
        <w:t>Attachment   A</w:t>
      </w:r>
    </w:p>
    <w:p>
      <w:pPr>
        <w:pStyle w:val="Normal"/>
        <w:ind w:hanging="2880" w:start="2880" w:end="0"/>
        <w:jc w:val="center"/>
        <w:rPr>
          <w:b/>
        </w:rPr>
      </w:pPr>
      <w:r>
        <w:rPr>
          <w:b/>
        </w:rPr>
      </w:r>
    </w:p>
    <w:p>
      <w:pPr>
        <w:pStyle w:val="Heading8"/>
        <w:rPr/>
      </w:pPr>
      <w:r>
        <w:rPr/>
        <w:t>Hour</w:t>
        <w:tab/>
        <w:tab/>
        <w:tab/>
        <w:t>July</w:t>
        <w:tab/>
        <w:tab/>
        <w:tab/>
        <w:tab/>
        <w:t>August</w:t>
        <w:tab/>
        <w:tab/>
        <w:t>September</w:t>
        <w:tab/>
        <w:t xml:space="preserve">        October</w:t>
      </w:r>
    </w:p>
    <w:p>
      <w:pPr>
        <w:pStyle w:val="Normal"/>
        <w:ind w:hanging="2880" w:start="2880" w:end="0"/>
        <w:rPr>
          <w:b/>
        </w:rPr>
      </w:pPr>
      <w:r>
        <w:rPr>
          <w:b/>
        </w:rPr>
      </w:r>
    </w:p>
    <w:p>
      <w:pPr>
        <w:pStyle w:val="Normal"/>
        <w:ind w:hanging="2880" w:start="2880" w:end="0"/>
        <w:rPr>
          <w:b/>
        </w:rPr>
      </w:pPr>
      <w:r>
        <w:rPr>
          <w:b/>
        </w:rPr>
        <w:t>1</w:t>
        <w:tab/>
        <w:tab/>
        <w:tab/>
        <w:t>7.0</w:t>
        <w:tab/>
        <w:tab/>
        <w:tab/>
        <w:tab/>
        <w:t>7.0</w:t>
        <w:tab/>
        <w:tab/>
        <w:tab/>
        <w:t>6.8</w:t>
        <w:tab/>
        <w:tab/>
        <w:tab/>
        <w:t>6.8</w:t>
      </w:r>
    </w:p>
    <w:p>
      <w:pPr>
        <w:pStyle w:val="Normal"/>
        <w:ind w:hanging="2880" w:start="2880" w:end="0"/>
        <w:rPr>
          <w:b/>
        </w:rPr>
      </w:pPr>
      <w:r>
        <w:rPr>
          <w:b/>
        </w:rPr>
        <w:t>2</w:t>
        <w:tab/>
        <w:tab/>
        <w:tab/>
        <w:t>7.0</w:t>
        <w:tab/>
        <w:tab/>
        <w:tab/>
        <w:tab/>
        <w:t>7.0</w:t>
        <w:tab/>
        <w:tab/>
        <w:tab/>
        <w:t>6.8</w:t>
        <w:tab/>
        <w:tab/>
        <w:tab/>
        <w:t>6.8</w:t>
      </w:r>
    </w:p>
    <w:p>
      <w:pPr>
        <w:pStyle w:val="Normal"/>
        <w:ind w:hanging="2880" w:start="2880" w:end="0"/>
        <w:rPr>
          <w:b/>
        </w:rPr>
      </w:pPr>
      <w:r>
        <w:rPr>
          <w:b/>
        </w:rPr>
        <w:t>3</w:t>
        <w:tab/>
        <w:tab/>
        <w:tab/>
        <w:t>7.0</w:t>
        <w:tab/>
        <w:tab/>
        <w:tab/>
        <w:tab/>
        <w:t>7.0</w:t>
        <w:tab/>
        <w:tab/>
        <w:tab/>
        <w:t>6.8</w:t>
        <w:tab/>
        <w:tab/>
        <w:tab/>
        <w:t>6.8</w:t>
      </w:r>
    </w:p>
    <w:p>
      <w:pPr>
        <w:pStyle w:val="Normal"/>
        <w:ind w:hanging="2880" w:start="2880" w:end="0"/>
        <w:rPr>
          <w:b/>
        </w:rPr>
      </w:pPr>
      <w:r>
        <w:rPr>
          <w:b/>
        </w:rPr>
        <w:t>4</w:t>
        <w:tab/>
        <w:tab/>
        <w:tab/>
        <w:t>7.0</w:t>
        <w:tab/>
        <w:tab/>
        <w:tab/>
        <w:tab/>
        <w:t>7.0</w:t>
        <w:tab/>
        <w:tab/>
        <w:tab/>
        <w:t>6.8</w:t>
        <w:tab/>
        <w:tab/>
        <w:tab/>
        <w:t>6.8</w:t>
        <w:tab/>
      </w:r>
    </w:p>
    <w:p>
      <w:pPr>
        <w:pStyle w:val="Normal"/>
        <w:ind w:hanging="2880" w:start="2880" w:end="0"/>
        <w:rPr>
          <w:b/>
        </w:rPr>
      </w:pPr>
      <w:r>
        <w:rPr>
          <w:b/>
        </w:rPr>
        <w:t>5</w:t>
        <w:tab/>
        <w:tab/>
        <w:tab/>
        <w:t>7.0</w:t>
        <w:tab/>
        <w:tab/>
        <w:tab/>
        <w:tab/>
        <w:t>7.0</w:t>
        <w:tab/>
        <w:tab/>
        <w:tab/>
        <w:t>6.8</w:t>
        <w:tab/>
        <w:tab/>
        <w:tab/>
        <w:t>6.8</w:t>
      </w:r>
    </w:p>
    <w:p>
      <w:pPr>
        <w:pStyle w:val="Normal"/>
        <w:ind w:hanging="2880" w:start="2880" w:end="0"/>
        <w:rPr>
          <w:b/>
        </w:rPr>
      </w:pPr>
      <w:r>
        <w:rPr>
          <w:b/>
        </w:rPr>
        <w:t>6</w:t>
        <w:tab/>
        <w:tab/>
        <w:tab/>
        <w:t>7.0</w:t>
        <w:tab/>
        <w:tab/>
        <w:tab/>
        <w:tab/>
        <w:t>7.0</w:t>
        <w:tab/>
        <w:tab/>
        <w:tab/>
        <w:t>6.8</w:t>
        <w:tab/>
        <w:tab/>
        <w:tab/>
        <w:t>6.8</w:t>
      </w:r>
    </w:p>
    <w:p>
      <w:pPr>
        <w:pStyle w:val="Normal"/>
        <w:ind w:hanging="2880" w:start="2880" w:end="0"/>
        <w:rPr>
          <w:b/>
        </w:rPr>
      </w:pPr>
      <w:r>
        <w:rPr>
          <w:b/>
        </w:rPr>
        <w:t>7</w:t>
        <w:tab/>
        <w:tab/>
        <w:tab/>
        <w:t>7.0</w:t>
        <w:tab/>
        <w:tab/>
        <w:tab/>
        <w:tab/>
        <w:t>7.0</w:t>
        <w:tab/>
        <w:tab/>
        <w:tab/>
        <w:t>7.0</w:t>
        <w:tab/>
        <w:tab/>
        <w:tab/>
        <w:t>7.0</w:t>
      </w:r>
    </w:p>
    <w:p>
      <w:pPr>
        <w:pStyle w:val="Normal"/>
        <w:ind w:hanging="2880" w:start="2880" w:end="0"/>
        <w:rPr>
          <w:b/>
        </w:rPr>
      </w:pPr>
      <w:r>
        <w:rPr>
          <w:b/>
        </w:rPr>
        <w:t>8</w:t>
        <w:tab/>
        <w:tab/>
        <w:tab/>
        <w:t>7.2</w:t>
        <w:tab/>
        <w:tab/>
        <w:tab/>
        <w:tab/>
        <w:t>7.2</w:t>
        <w:tab/>
        <w:tab/>
        <w:tab/>
        <w:t>7.0</w:t>
        <w:tab/>
        <w:tab/>
        <w:tab/>
        <w:t>7.0</w:t>
      </w:r>
    </w:p>
    <w:p>
      <w:pPr>
        <w:pStyle w:val="Normal"/>
        <w:ind w:hanging="2880" w:start="2880" w:end="0"/>
        <w:rPr>
          <w:b/>
        </w:rPr>
      </w:pPr>
      <w:r>
        <w:rPr>
          <w:b/>
        </w:rPr>
        <w:t>9</w:t>
        <w:tab/>
        <w:tab/>
        <w:tab/>
        <w:t>8.9</w:t>
        <w:tab/>
        <w:tab/>
        <w:tab/>
        <w:tab/>
        <w:t>8.9</w:t>
        <w:tab/>
        <w:tab/>
        <w:tab/>
        <w:t>8.6</w:t>
        <w:tab/>
        <w:tab/>
        <w:tab/>
        <w:t>8.6</w:t>
      </w:r>
    </w:p>
    <w:p>
      <w:pPr>
        <w:pStyle w:val="Normal"/>
        <w:ind w:hanging="2880" w:start="2880" w:end="0"/>
        <w:rPr>
          <w:b/>
        </w:rPr>
      </w:pPr>
      <w:r>
        <w:rPr>
          <w:b/>
        </w:rPr>
        <w:t>10</w:t>
        <w:tab/>
        <w:tab/>
        <w:tab/>
        <w:t>10.0</w:t>
        <w:tab/>
        <w:tab/>
        <w:tab/>
        <w:tab/>
        <w:t>10.0</w:t>
        <w:tab/>
        <w:tab/>
        <w:tab/>
        <w:t>9.6</w:t>
        <w:tab/>
        <w:tab/>
        <w:tab/>
        <w:t>9.6</w:t>
      </w:r>
    </w:p>
    <w:p>
      <w:pPr>
        <w:pStyle w:val="Normal"/>
        <w:ind w:hanging="2880" w:start="2880" w:end="0"/>
        <w:rPr>
          <w:b/>
        </w:rPr>
      </w:pPr>
      <w:r>
        <w:rPr>
          <w:b/>
        </w:rPr>
        <w:t>11</w:t>
        <w:tab/>
        <w:tab/>
        <w:tab/>
        <w:t>13.2</w:t>
        <w:tab/>
        <w:tab/>
        <w:tab/>
        <w:tab/>
        <w:t>13.3</w:t>
        <w:tab/>
        <w:tab/>
        <w:tab/>
        <w:t>10.7</w:t>
        <w:tab/>
        <w:tab/>
        <w:t xml:space="preserve">          10.7</w:t>
      </w:r>
    </w:p>
    <w:p>
      <w:pPr>
        <w:pStyle w:val="Normal"/>
        <w:ind w:hanging="2880" w:start="2880" w:end="0"/>
        <w:rPr>
          <w:b/>
        </w:rPr>
      </w:pPr>
      <w:r>
        <w:rPr>
          <w:b/>
        </w:rPr>
        <w:t>12</w:t>
        <w:tab/>
        <w:tab/>
        <w:tab/>
        <w:t>13.4</w:t>
        <w:tab/>
        <w:tab/>
        <w:tab/>
        <w:tab/>
        <w:t>13.3</w:t>
        <w:tab/>
        <w:tab/>
        <w:tab/>
        <w:t>10.7</w:t>
        <w:tab/>
        <w:t xml:space="preserve">    </w:t>
        <w:tab/>
        <w:t xml:space="preserve">          10.7</w:t>
      </w:r>
    </w:p>
    <w:p>
      <w:pPr>
        <w:pStyle w:val="Normal"/>
        <w:ind w:hanging="2880" w:start="2880" w:end="0"/>
        <w:rPr>
          <w:b/>
        </w:rPr>
      </w:pPr>
      <w:r>
        <w:rPr>
          <w:b/>
        </w:rPr>
        <w:t>13</w:t>
        <w:tab/>
        <w:tab/>
        <w:tab/>
        <w:t>14.2</w:t>
        <w:tab/>
        <w:tab/>
        <w:tab/>
        <w:tab/>
        <w:t>14.5</w:t>
        <w:tab/>
        <w:tab/>
        <w:tab/>
        <w:t xml:space="preserve">12.9 </w:t>
        <w:tab/>
        <w:tab/>
        <w:t xml:space="preserve">          12.9</w:t>
        <w:tab/>
      </w:r>
    </w:p>
    <w:p>
      <w:pPr>
        <w:pStyle w:val="Normal"/>
        <w:ind w:hanging="2880" w:start="2880" w:end="0"/>
        <w:rPr>
          <w:b/>
        </w:rPr>
      </w:pPr>
      <w:r>
        <w:rPr>
          <w:b/>
        </w:rPr>
        <w:t>14</w:t>
        <w:tab/>
        <w:tab/>
        <w:tab/>
        <w:t>14.6</w:t>
        <w:tab/>
        <w:tab/>
        <w:tab/>
        <w:tab/>
        <w:t>14.8</w:t>
        <w:tab/>
        <w:tab/>
        <w:tab/>
        <w:t>13.5</w:t>
        <w:tab/>
        <w:tab/>
        <w:t xml:space="preserve">          13.5</w:t>
      </w:r>
    </w:p>
    <w:p>
      <w:pPr>
        <w:pStyle w:val="Normal"/>
        <w:ind w:hanging="2880" w:start="2880" w:end="0"/>
        <w:rPr>
          <w:b/>
        </w:rPr>
      </w:pPr>
      <w:r>
        <w:rPr>
          <w:b/>
        </w:rPr>
        <w:t>15</w:t>
        <w:tab/>
        <w:tab/>
        <w:tab/>
        <w:t>15.1</w:t>
        <w:tab/>
        <w:tab/>
        <w:tab/>
        <w:tab/>
        <w:t>15.2</w:t>
        <w:tab/>
        <w:tab/>
        <w:tab/>
        <w:t>14.5</w:t>
        <w:tab/>
        <w:tab/>
        <w:t xml:space="preserve">          14.5</w:t>
      </w:r>
    </w:p>
    <w:p>
      <w:pPr>
        <w:pStyle w:val="Normal"/>
        <w:ind w:hanging="2880" w:start="2880" w:end="0"/>
        <w:rPr>
          <w:b/>
        </w:rPr>
      </w:pPr>
      <w:r>
        <w:rPr>
          <w:b/>
        </w:rPr>
        <w:t>16</w:t>
        <w:tab/>
        <w:tab/>
        <w:tab/>
        <w:t>15.9</w:t>
        <w:tab/>
        <w:tab/>
        <w:tab/>
        <w:tab/>
        <w:t>15.9</w:t>
        <w:tab/>
        <w:tab/>
        <w:tab/>
        <w:t>14.5</w:t>
        <w:tab/>
        <w:tab/>
        <w:t xml:space="preserve">          14.5</w:t>
      </w:r>
    </w:p>
    <w:p>
      <w:pPr>
        <w:pStyle w:val="Normal"/>
        <w:ind w:hanging="2880" w:start="2880" w:end="0"/>
        <w:rPr>
          <w:b/>
        </w:rPr>
      </w:pPr>
      <w:r>
        <w:rPr>
          <w:b/>
        </w:rPr>
        <w:t>17</w:t>
        <w:tab/>
        <w:tab/>
        <w:tab/>
        <w:t>16.1</w:t>
        <w:tab/>
        <w:tab/>
        <w:tab/>
        <w:tab/>
        <w:t>16.1</w:t>
        <w:tab/>
        <w:tab/>
        <w:tab/>
        <w:t>14.5</w:t>
        <w:tab/>
        <w:tab/>
        <w:t xml:space="preserve">          14.5</w:t>
      </w:r>
    </w:p>
    <w:p>
      <w:pPr>
        <w:pStyle w:val="Normal"/>
        <w:ind w:hanging="2880" w:start="2880" w:end="0"/>
        <w:rPr>
          <w:b/>
        </w:rPr>
      </w:pPr>
      <w:r>
        <w:rPr>
          <w:b/>
        </w:rPr>
        <w:t>18</w:t>
        <w:tab/>
        <w:tab/>
        <w:tab/>
        <w:t>15.3</w:t>
        <w:tab/>
        <w:tab/>
        <w:tab/>
        <w:tab/>
        <w:t>15.3</w:t>
        <w:tab/>
        <w:tab/>
        <w:tab/>
        <w:t>13.9</w:t>
        <w:tab/>
        <w:t xml:space="preserve">         </w:t>
        <w:tab/>
        <w:t xml:space="preserve">          13.9</w:t>
      </w:r>
    </w:p>
    <w:p>
      <w:pPr>
        <w:pStyle w:val="Normal"/>
        <w:ind w:hanging="2880" w:start="2880" w:end="0"/>
        <w:rPr>
          <w:b/>
        </w:rPr>
      </w:pPr>
      <w:r>
        <w:rPr>
          <w:b/>
        </w:rPr>
        <w:t>19</w:t>
        <w:tab/>
        <w:tab/>
        <w:tab/>
        <w:t>14.4</w:t>
        <w:tab/>
        <w:tab/>
        <w:tab/>
        <w:tab/>
        <w:t>14.4</w:t>
        <w:tab/>
        <w:tab/>
        <w:tab/>
        <w:t>12.9</w:t>
        <w:tab/>
        <w:tab/>
        <w:t xml:space="preserve">          12.9</w:t>
      </w:r>
    </w:p>
    <w:p>
      <w:pPr>
        <w:pStyle w:val="Normal"/>
        <w:ind w:hanging="2880" w:start="2880" w:end="0"/>
        <w:rPr>
          <w:b/>
        </w:rPr>
      </w:pPr>
      <w:r>
        <w:rPr>
          <w:b/>
        </w:rPr>
        <w:t>20</w:t>
        <w:tab/>
        <w:tab/>
        <w:tab/>
        <w:t>12.1</w:t>
        <w:tab/>
        <w:tab/>
        <w:tab/>
        <w:tab/>
        <w:t>12.1</w:t>
        <w:tab/>
        <w:tab/>
        <w:tab/>
        <w:t>10.7</w:t>
        <w:tab/>
        <w:tab/>
        <w:t xml:space="preserve">          10.7</w:t>
        <w:tab/>
      </w:r>
    </w:p>
    <w:p>
      <w:pPr>
        <w:pStyle w:val="Normal"/>
        <w:ind w:hanging="2880" w:start="2880" w:end="0"/>
        <w:rPr>
          <w:b/>
        </w:rPr>
      </w:pPr>
      <w:r>
        <w:rPr>
          <w:b/>
        </w:rPr>
        <w:t>21</w:t>
        <w:tab/>
        <w:tab/>
        <w:tab/>
        <w:t>10.5</w:t>
        <w:tab/>
        <w:tab/>
        <w:tab/>
        <w:tab/>
        <w:t>11.0</w:t>
        <w:tab/>
        <w:tab/>
        <w:tab/>
        <w:t>9.6</w:t>
        <w:tab/>
        <w:tab/>
        <w:tab/>
        <w:t>9.6</w:t>
      </w:r>
    </w:p>
    <w:p>
      <w:pPr>
        <w:pStyle w:val="Normal"/>
        <w:ind w:hanging="2880" w:start="2880" w:end="0"/>
        <w:rPr>
          <w:b/>
        </w:rPr>
      </w:pPr>
      <w:r>
        <w:rPr>
          <w:b/>
        </w:rPr>
        <w:t>22</w:t>
        <w:tab/>
        <w:tab/>
        <w:tab/>
        <w:t>9.0</w:t>
        <w:tab/>
        <w:tab/>
        <w:tab/>
        <w:tab/>
        <w:t>9.7</w:t>
        <w:tab/>
        <w:tab/>
        <w:tab/>
        <w:t>9.0</w:t>
        <w:tab/>
        <w:tab/>
        <w:tab/>
        <w:t>9.0</w:t>
      </w:r>
    </w:p>
    <w:p>
      <w:pPr>
        <w:pStyle w:val="Normal"/>
        <w:ind w:hanging="2880" w:start="2880" w:end="0"/>
        <w:rPr>
          <w:b/>
        </w:rPr>
      </w:pPr>
      <w:r>
        <w:rPr>
          <w:b/>
        </w:rPr>
        <w:t>23</w:t>
        <w:tab/>
        <w:tab/>
        <w:tab/>
        <w:t>7.0</w:t>
        <w:tab/>
        <w:tab/>
        <w:tab/>
        <w:tab/>
        <w:t>7.2</w:t>
        <w:tab/>
        <w:tab/>
        <w:tab/>
        <w:t>6.8</w:t>
        <w:tab/>
        <w:tab/>
        <w:tab/>
        <w:t>6.8</w:t>
      </w:r>
    </w:p>
    <w:p>
      <w:pPr>
        <w:pStyle w:val="Normal"/>
        <w:ind w:hanging="2880" w:start="2880" w:end="0"/>
        <w:rPr>
          <w:b/>
        </w:rPr>
      </w:pPr>
      <w:r>
        <w:rPr>
          <w:b/>
        </w:rPr>
        <w:t>24</w:t>
        <w:tab/>
        <w:tab/>
        <w:tab/>
        <w:t>7.0</w:t>
        <w:tab/>
        <w:tab/>
        <w:tab/>
        <w:tab/>
        <w:t>7.2</w:t>
        <w:tab/>
        <w:tab/>
        <w:tab/>
        <w:t>6.8</w:t>
        <w:tab/>
        <w:tab/>
        <w:tab/>
        <w:t>6.8</w:t>
      </w:r>
    </w:p>
    <w:p>
      <w:pPr>
        <w:pStyle w:val="Normal"/>
        <w:ind w:hanging="2880" w:start="2880" w:end="0"/>
        <w:rPr>
          <w:b/>
        </w:rPr>
      </w:pPr>
      <w:r>
        <w:rPr>
          <w:b/>
        </w:rPr>
      </w:r>
    </w:p>
    <w:p>
      <w:pPr>
        <w:pStyle w:val="Normal"/>
        <w:ind w:hanging="2880" w:start="2880" w:end="0"/>
        <w:rPr>
          <w:b/>
        </w:rPr>
      </w:pPr>
      <w:r>
        <w:rPr>
          <w:b/>
        </w:rPr>
      </w:r>
    </w:p>
    <w:p>
      <w:pPr>
        <w:pStyle w:val="Normal"/>
        <w:rPr>
          <w:b/>
        </w:rPr>
      </w:pPr>
      <w:r>
        <w:rPr>
          <w:b/>
        </w:rPr>
      </w:r>
    </w:p>
    <w:sectPr>
      <w:footerReference w:type="default" r:id="rId2"/>
      <w:type w:val="nextPage"/>
      <w:pgSz w:w="12240" w:h="15840"/>
      <w:pgMar w:left="1080" w:right="1080" w:gutter="0" w:header="0" w:top="1440" w:footer="576"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2"/>
      <w:rPr/>
    </w:pPr>
    <w:r>
      <w:rPr/>
    </w:r>
  </w:p>
  <w:p>
    <w:pPr>
      <w:pStyle w:val="BodyText2"/>
      <w:rPr/>
    </w:pPr>
    <w:r>
      <w:rPr/>
      <w:t>This document is not intended to create a binding contract for the purchase and/or sale of Capacity and/or Energy between Seller and Buyer. It is not an offer capable of acceptance and its terms may be revised by TEMI at any time without notice. This proposal is intended solely as a basis for negotiation toward an agreement between Buyer and Seller.  Neither Party is obligated to continue negotiations and either party may terminate negotiations at any time without liability to the other Party.</w:t>
    </w:r>
  </w:p>
  <w:p>
    <w:pPr>
      <w:pStyle w:val="BodyText2"/>
      <w:jc w:val="center"/>
      <w:rPr>
        <w:b/>
      </w:rPr>
    </w:pPr>
    <w:r>
      <w:rPr>
        <w:b/>
      </w:rPr>
      <w:t>CONFIDENTIAL</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left" w:pos="-1080" w:leader="none"/>
        <w:tab w:val="left" w:pos="-720" w:leader="none"/>
        <w:tab w:val="left" w:pos="0" w:leader="none"/>
        <w:tab w:val="left" w:pos="720" w:leader="none"/>
        <w:tab w:val="left" w:pos="1440" w:leader="none"/>
        <w:tab w:val="left" w:pos="2160" w:leader="none"/>
        <w:tab w:val="left" w:pos="3690" w:leader="none"/>
      </w:tabs>
      <w:outlineLvl w:val="0"/>
    </w:pPr>
    <w:rPr>
      <w:b/>
    </w:rPr>
  </w:style>
  <w:style w:type="paragraph" w:styleId="Heading2">
    <w:name w:val="heading 2"/>
    <w:basedOn w:val="Normal"/>
    <w:next w:val="Normal"/>
    <w:qFormat/>
    <w:pPr>
      <w:keepNext w:val="true"/>
      <w:numPr>
        <w:ilvl w:val="1"/>
        <w:numId w:val="1"/>
      </w:numPr>
      <w:ind w:hanging="2880" w:start="5760" w:end="0"/>
      <w:jc w:val="both"/>
      <w:outlineLvl w:val="1"/>
    </w:pPr>
    <w:rPr>
      <w:b/>
      <w:sz w:val="20"/>
    </w:rPr>
  </w:style>
  <w:style w:type="paragraph" w:styleId="Heading3">
    <w:name w:val="heading 3"/>
    <w:basedOn w:val="Normal"/>
    <w:next w:val="Normal"/>
    <w:qFormat/>
    <w:pPr>
      <w:keepNext w:val="true"/>
      <w:numPr>
        <w:ilvl w:val="2"/>
        <w:numId w:val="1"/>
      </w:numPr>
      <w:ind w:hanging="2880" w:start="2880" w:end="0"/>
      <w:jc w:val="both"/>
      <w:outlineLvl w:val="2"/>
    </w:pPr>
    <w:rPr>
      <w:b/>
      <w:sz w:val="20"/>
    </w:rPr>
  </w:style>
  <w:style w:type="paragraph" w:styleId="Heading4">
    <w:name w:val="heading 4"/>
    <w:basedOn w:val="Normal"/>
    <w:next w:val="Normal"/>
    <w:qFormat/>
    <w:pPr>
      <w:keepNext w:val="true"/>
      <w:numPr>
        <w:ilvl w:val="3"/>
        <w:numId w:val="1"/>
      </w:numPr>
      <w:ind w:hanging="2880" w:start="2880" w:end="0"/>
      <w:jc w:val="both"/>
      <w:outlineLvl w:val="3"/>
    </w:pPr>
    <w:rPr>
      <w:b/>
    </w:rPr>
  </w:style>
  <w:style w:type="paragraph" w:styleId="Heading5">
    <w:name w:val="heading 5"/>
    <w:basedOn w:val="Normal"/>
    <w:next w:val="Normal"/>
    <w:qFormat/>
    <w:pPr>
      <w:keepNext w:val="true"/>
      <w:numPr>
        <w:ilvl w:val="4"/>
        <w:numId w:val="1"/>
      </w:numPr>
      <w:tabs>
        <w:tab w:val="clear" w:pos="720"/>
        <w:tab w:val="left" w:pos="450" w:leader="none"/>
        <w:tab w:val="left" w:pos="1170" w:leader="none"/>
      </w:tabs>
      <w:ind w:hanging="2880" w:start="2880" w:end="0"/>
      <w:jc w:val="both"/>
      <w:outlineLvl w:val="4"/>
    </w:pPr>
    <w:rPr>
      <w:b/>
      <w:sz w:val="22"/>
    </w:rPr>
  </w:style>
  <w:style w:type="paragraph" w:styleId="Heading6">
    <w:name w:val="heading 6"/>
    <w:basedOn w:val="Normal"/>
    <w:next w:val="Normal"/>
    <w:qFormat/>
    <w:pPr>
      <w:keepNext w:val="true"/>
      <w:numPr>
        <w:ilvl w:val="5"/>
        <w:numId w:val="1"/>
      </w:numPr>
      <w:jc w:val="center"/>
      <w:outlineLvl w:val="5"/>
    </w:pPr>
    <w:rPr>
      <w:b/>
    </w:rPr>
  </w:style>
  <w:style w:type="paragraph" w:styleId="Heading7">
    <w:name w:val="heading 7"/>
    <w:basedOn w:val="Normal"/>
    <w:next w:val="Normal"/>
    <w:qFormat/>
    <w:pPr>
      <w:keepNext w:val="true"/>
      <w:numPr>
        <w:ilvl w:val="6"/>
        <w:numId w:val="1"/>
      </w:numPr>
      <w:ind w:hanging="2880" w:start="2880" w:end="0"/>
      <w:jc w:val="center"/>
      <w:outlineLvl w:val="6"/>
    </w:pPr>
    <w:rPr>
      <w:b/>
    </w:rPr>
  </w:style>
  <w:style w:type="paragraph" w:styleId="Heading8">
    <w:name w:val="heading 8"/>
    <w:basedOn w:val="Normal"/>
    <w:next w:val="Normal"/>
    <w:qFormat/>
    <w:pPr>
      <w:keepNext w:val="true"/>
      <w:numPr>
        <w:ilvl w:val="7"/>
        <w:numId w:val="1"/>
      </w:numPr>
      <w:ind w:hanging="2880" w:start="2880" w:end="0"/>
      <w:outlineLvl w:val="7"/>
    </w:pPr>
    <w:rPr>
      <w:b/>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jc w:val="center"/>
    </w:pPr>
    <w:rPr>
      <w:sz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200" w:leader="none"/>
        <w:tab w:val="left" w:pos="-720" w:leader="none"/>
        <w:tab w:val="left" w:pos="0" w:leader="none"/>
        <w:tab w:val="left" w:pos="720" w:leader="none"/>
        <w:tab w:val="left" w:pos="1440" w:leader="none"/>
        <w:tab w:val="left" w:pos="2160" w:leader="none"/>
        <w:tab w:val="left" w:pos="3690" w:leader="none"/>
      </w:tabs>
      <w:ind w:hanging="3690" w:start="3690" w:end="0"/>
      <w:jc w:val="both"/>
    </w:pPr>
    <w:rPr/>
  </w:style>
  <w:style w:type="paragraph" w:styleId="BodyTextIndent2">
    <w:name w:val="Body Text Indent 2"/>
    <w:basedOn w:val="Normal"/>
    <w:qFormat/>
    <w:pPr>
      <w:ind w:hanging="0" w:start="2880" w:end="0"/>
      <w:jc w:val="both"/>
    </w:pPr>
    <w:rPr>
      <w:sz w:val="20"/>
    </w:rPr>
  </w:style>
  <w:style w:type="paragraph" w:styleId="DocumentMap">
    <w:name w:val="Document Map"/>
    <w:basedOn w:val="Normal"/>
    <w:qFormat/>
    <w:pPr>
      <w:shd w:fill="000080" w:val="clear"/>
    </w:pPr>
    <w:rPr>
      <w:rFonts w:ascii="Tahoma" w:hAnsi="Tahoma" w:cs="Tahoma"/>
    </w:rPr>
  </w:style>
  <w:style w:type="paragraph" w:styleId="CTAgmt5">
    <w:name w:val="CT Agmt 5"/>
    <w:qFormat/>
    <w:pPr>
      <w:widowControl/>
      <w:tabs>
        <w:tab w:val="clear" w:pos="720"/>
        <w:tab w:val="left" w:pos="1008" w:leader="none"/>
      </w:tabs>
      <w:bidi w:val="0"/>
      <w:spacing w:before="0" w:after="240"/>
      <w:ind w:hanging="1008" w:start="1008" w:end="0"/>
      <w:jc w:val="both"/>
      <w:outlineLvl w:val="4"/>
    </w:pPr>
    <w:rPr>
      <w:rFonts w:ascii="Times New Roman" w:hAnsi="Times New Roman" w:eastAsia="Times New Roman" w:cs="Times New Roman"/>
      <w:color w:val="auto"/>
      <w:sz w:val="24"/>
      <w:szCs w:val="20"/>
      <w:lang w:val="en-US" w:bidi="ar-SA" w:eastAsia="zh-CN"/>
    </w:rPr>
  </w:style>
  <w:style w:type="paragraph" w:styleId="CTAgmt7">
    <w:name w:val="CT Agmt 7"/>
    <w:qFormat/>
    <w:pPr>
      <w:widowControl/>
      <w:tabs>
        <w:tab w:val="clear" w:pos="720"/>
        <w:tab w:val="left" w:pos="3024" w:leader="none"/>
      </w:tabs>
      <w:bidi w:val="0"/>
      <w:spacing w:before="0" w:after="240"/>
      <w:ind w:hanging="1008" w:start="3024" w:end="0"/>
      <w:jc w:val="both"/>
      <w:outlineLvl w:val="6"/>
    </w:pPr>
    <w:rPr>
      <w:rFonts w:ascii="Times New Roman" w:hAnsi="Times New Roman" w:eastAsia="Times New Roman" w:cs="Times New Roman"/>
      <w:color w:val="auto"/>
      <w:sz w:val="24"/>
      <w:szCs w:val="20"/>
      <w:lang w:val="en-US" w:bidi="ar-SA" w:eastAsia="zh-CN"/>
    </w:rPr>
  </w:style>
  <w:style w:type="paragraph" w:styleId="CTAgmt5Flush">
    <w:name w:val="CT Agmt 5 Flush"/>
    <w:qFormat/>
    <w:pPr>
      <w:widowControl/>
      <w:tabs>
        <w:tab w:val="clear" w:pos="720"/>
        <w:tab w:val="left" w:pos="1008" w:leader="none"/>
      </w:tabs>
      <w:bidi w:val="0"/>
      <w:spacing w:before="0" w:after="240"/>
      <w:ind w:hanging="0" w:start="1008" w:end="0"/>
      <w:jc w:val="both"/>
    </w:pPr>
    <w:rPr>
      <w:rFonts w:ascii="Times New Roman" w:hAnsi="Times New Roman" w:eastAsia="Times New Roman" w:cs="Times New Roman"/>
      <w:color w:val="auto"/>
      <w:sz w:val="24"/>
      <w:szCs w:val="20"/>
      <w:lang w:val="en-US" w:bidi="ar-SA" w:eastAsia="zh-CN"/>
    </w:rPr>
  </w:style>
  <w:style w:type="paragraph" w:styleId="CTAgmt6Flush">
    <w:name w:val="CT Agmt 6 Flush"/>
    <w:qFormat/>
    <w:pPr>
      <w:widowControl/>
      <w:bidi w:val="0"/>
      <w:spacing w:before="0" w:after="240"/>
      <w:ind w:hanging="0" w:start="2016" w:end="0"/>
      <w:jc w:val="both"/>
    </w:pPr>
    <w:rPr>
      <w:rFonts w:ascii="Times New Roman" w:hAnsi="Times New Roman" w:eastAsia="Times New Roman" w:cs="Times New Roman"/>
      <w:color w:val="auto"/>
      <w:sz w:val="24"/>
      <w:szCs w:val="20"/>
      <w:lang w:val="en-US" w:bidi="ar-SA" w:eastAsia="zh-CN"/>
    </w:rPr>
  </w:style>
  <w:style w:type="paragraph" w:styleId="BodyText2">
    <w:name w:val="Body Text 2"/>
    <w:basedOn w:val="Normal"/>
    <w:qFormat/>
    <w:pPr/>
    <w:rPr>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2001-05-24T18:42:00Z</dcterms:created>
  <dc:creator>wegtemp1</dc:creator>
  <dc:description/>
  <dc:language>en-CA</dc:language>
  <cp:lastModifiedBy>cdean</cp:lastModifiedBy>
  <cp:lastPrinted>2001-05-24T14:57:00Z</cp:lastPrinted>
  <dcterms:modified xsi:type="dcterms:W3CDTF">2001-05-24T18:42:00Z</dcterms:modified>
  <cp:revision>2</cp:revision>
  <dc:subject/>
  <dc:title>[SERVICE PROVIDER]</dc:title>
</cp:coreProperties>
</file>