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Verdana" w:hAnsi="Verdana" w:cs="Verdana"/>
        </w:rPr>
      </w:pPr>
      <w:r>
        <w:rPr>
          <w:rFonts w:cs="Verdana" w:ascii="Verdana" w:hAnsi="Verdana"/>
        </w:rPr>
      </w:r>
    </w:p>
    <w:p>
      <w:pPr>
        <w:pStyle w:val="Heading"/>
        <w:numPr>
          <w:ilvl w:val="0"/>
          <w:numId w:val="0"/>
        </w:numPr>
        <w:outlineLvl w:val="0"/>
        <w:rPr>
          <w:rFonts w:ascii="Verdana" w:hAnsi="Verdana" w:cs="Verdana"/>
        </w:rPr>
      </w:pPr>
      <w:r>
        <mc:AlternateContent>
          <mc:Choice Requires="wps">
            <w:drawing>
              <wp:anchor behindDoc="0" distT="0" distB="0" distL="114935" distR="114935" simplePos="0" locked="0" layoutInCell="1" allowOverlap="1" relativeHeight="4">
                <wp:simplePos x="0" y="0"/>
                <wp:positionH relativeFrom="column">
                  <wp:posOffset>5211445</wp:posOffset>
                </wp:positionH>
                <wp:positionV relativeFrom="paragraph">
                  <wp:posOffset>1005205</wp:posOffset>
                </wp:positionV>
                <wp:extent cx="5514340" cy="6436995"/>
                <wp:effectExtent l="0" t="0" r="0" b="0"/>
                <wp:wrapNone/>
                <wp:docPr id="1" name=""/>
                <a:graphic xmlns:a="http://schemas.openxmlformats.org/drawingml/2006/main">
                  <a:graphicData uri="http://schemas.microsoft.com/office/word/2010/wordprocessingShape">
                    <wps:wsp>
                      <wps:cNvSpPr txBox="1"/>
                      <wps:spPr>
                        <a:xfrm rot="10800000">
                          <a:off x="0" y="0"/>
                          <a:ext cx="5514480" cy="6437160"/>
                        </a:xfrm>
                        <a:prstGeom prst="rect">
                          <a:avLst/>
                        </a:prstGeom>
                        <a:noFill/>
                        <a:ln w="0">
                          <a:noFill/>
                        </a:ln>
                      </wps:spPr>
                      <wps:txbx>
                        <w:txbxContent>
                          <w:p>
                            <w:pPr>
                              <w:overflowPunct w:val="false"/>
                              <w:bidi w:val="0"/>
                              <w:rPr/>
                            </w:pPr>
                            <w:r>
                              <w:rPr>
                                <w:kern w:val="2"/>
                                <w:sz w:val="96"/>
                                <w:szCs w:val="20"/>
                                <w:rFonts w:ascii="Arial" w:hAnsi="Arial" w:eastAsia="Times New Roman" w:cs="Arial"/>
                                <w:color w:val="808080"/>
                                <w:lang w:val="en-GB"/>
                              </w:rPr>
                              <w:t>Inception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79.15pt;width:434.15pt;height:506.8pt;mso-wrap-style:none;v-text-anchor:middle;rotation:180" type="_x0000_t202">
                <v:textbox>
                  <w:txbxContent>
                    <w:p>
                      <w:pPr>
                        <w:overflowPunct w:val="false"/>
                        <w:bidi w:val="0"/>
                        <w:rPr/>
                      </w:pPr>
                      <w:r>
                        <w:rPr>
                          <w:kern w:val="2"/>
                          <w:sz w:val="96"/>
                          <w:szCs w:val="20"/>
                          <w:rFonts w:ascii="Arial" w:hAnsi="Arial" w:eastAsia="Times New Roman" w:cs="Arial"/>
                          <w:color w:val="808080"/>
                          <w:lang w:val="en-GB"/>
                        </w:rPr>
                        <w:t>Inception Document</w:t>
                      </w:r>
                    </w:p>
                  </w:txbxContent>
                </v:textbox>
                <v:fill o:detectmouseclick="t" on="false"/>
                <v:stroke color="#3465a4" joinstyle="round" endcap="flat"/>
                <w10:wrap type="none"/>
              </v:shape>
            </w:pict>
          </mc:Fallback>
        </mc:AlternateContent>
      </w:r>
      <w:r>
        <w:rPr>
          <w:rFonts w:cs="Verdana" w:ascii="Verdana" w:hAnsi="Verdana"/>
        </w:rPr>
        <w:t>EnLighten</w:t>
      </w:r>
    </w:p>
    <w:p>
      <w:pPr>
        <w:pStyle w:val="Normal"/>
        <w:numPr>
          <w:ilvl w:val="0"/>
          <w:numId w:val="0"/>
        </w:numPr>
        <w:jc w:val="center"/>
        <w:outlineLvl w:val="0"/>
        <w:rPr>
          <w:rFonts w:ascii="Arial" w:hAnsi="Arial" w:cs="Arial"/>
          <w:sz w:val="36"/>
        </w:rPr>
      </w:pPr>
      <w:r>
        <w:rPr>
          <w:rFonts w:cs="Arial" w:ascii="Arial" w:hAnsi="Arial"/>
          <w:sz w:val="36"/>
        </w:rPr>
        <w:t>Inception - Executive summary</w:t>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sz w:val="48"/>
        </w:rPr>
      </w:pPr>
      <w:r>
        <w:rPr/>
        <w:drawing>
          <wp:inline distT="0" distB="0" distL="0" distR="0">
            <wp:extent cx="2188210" cy="219456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39" t="-39" r="-39" b="-39"/>
                    <a:stretch>
                      <a:fillRect/>
                    </a:stretch>
                  </pic:blipFill>
                  <pic:spPr bwMode="auto">
                    <a:xfrm>
                      <a:off x="0" y="0"/>
                      <a:ext cx="2188210" cy="2194560"/>
                    </a:xfrm>
                    <a:prstGeom prst="rect">
                      <a:avLst/>
                    </a:prstGeom>
                    <a:noFill/>
                  </pic:spPr>
                </pic:pic>
              </a:graphicData>
            </a:graphic>
          </wp:inline>
        </w:drawing>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rPr>
      </w:pPr>
      <w:r>
        <w:rPr>
          <w:rFonts w:cs="Arial" w:ascii="Arial" w:hAnsi="Arial"/>
        </w:rPr>
      </w:r>
    </w:p>
    <w:p>
      <w:pPr>
        <w:pStyle w:val="Normal"/>
        <w:numPr>
          <w:ilvl w:val="0"/>
          <w:numId w:val="0"/>
        </w:numPr>
        <w:outlineLvl w:val="0"/>
        <w:rPr>
          <w:i/>
          <w:i/>
        </w:rPr>
      </w:pPr>
      <w:r>
        <w:rPr>
          <w:i/>
        </w:rPr>
        <w:t>On behalf of</w:t>
      </w:r>
    </w:p>
    <w:p>
      <w:pPr>
        <w:pStyle w:val="Normal"/>
        <w:numPr>
          <w:ilvl w:val="0"/>
          <w:numId w:val="0"/>
        </w:numPr>
        <w:outlineLvl w:val="0"/>
        <w:rPr>
          <w:sz w:val="40"/>
        </w:rPr>
      </w:pPr>
      <w:r>
        <w:rPr>
          <w:sz w:val="40"/>
        </w:rPr>
        <w:t>Enron Europe Limited</w:t>
      </w:r>
    </w:p>
    <w:p>
      <w:pPr>
        <w:pStyle w:val="Normal"/>
        <w:rPr>
          <w:sz w:val="40"/>
        </w:rPr>
      </w:pPr>
      <w:r>
        <w:rPr>
          <w:sz w:val="40"/>
        </w:rPr>
      </w:r>
    </w:p>
    <w:p>
      <w:pPr>
        <w:pStyle w:val="Normal"/>
        <w:rPr/>
      </w:pPr>
      <w:r>
        <w:rPr/>
      </w:r>
    </w:p>
    <w:p>
      <w:pPr>
        <w:pStyle w:val="Normal"/>
        <w:rPr/>
      </w:pPr>
      <w:r>
        <w:rPr/>
      </w:r>
    </w:p>
    <w:p>
      <w:pPr>
        <w:pStyle w:val="Normal"/>
        <w:rPr/>
      </w:pPr>
      <w:r>
        <w:rPr/>
      </w:r>
    </w:p>
    <w:p>
      <w:pPr>
        <w:pStyle w:val="Normal"/>
        <w:rPr/>
      </w:pPr>
      <w:r>
        <w:rPr/>
      </w:r>
    </w:p>
    <w:tbl>
      <w:tblPr>
        <w:tblW w:w="5954" w:type="dxa"/>
        <w:jc w:val="start"/>
        <w:tblInd w:w="108" w:type="dxa"/>
        <w:tblLayout w:type="fixed"/>
        <w:tblCellMar>
          <w:top w:w="0" w:type="dxa"/>
          <w:start w:w="108" w:type="dxa"/>
          <w:bottom w:w="0" w:type="dxa"/>
          <w:end w:w="108" w:type="dxa"/>
        </w:tblCellMar>
      </w:tblPr>
      <w:tblGrid>
        <w:gridCol w:w="2552"/>
        <w:gridCol w:w="3402"/>
      </w:tblGrid>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Project Code:</w:t>
            </w:r>
          </w:p>
        </w:tc>
        <w:tc>
          <w:tcPr>
            <w:tcW w:w="3402" w:type="dxa"/>
            <w:tcBorders>
              <w:top w:val="single" w:sz="6" w:space="0" w:color="000000"/>
              <w:bottom w:val="single" w:sz="6" w:space="0" w:color="000000"/>
              <w:end w:val="single" w:sz="6" w:space="0" w:color="000000"/>
            </w:tcBorders>
          </w:tcPr>
          <w:p>
            <w:pPr>
              <w:pStyle w:val="Normal"/>
              <w:snapToGrid w:val="false"/>
              <w:rPr/>
            </w:pPr>
            <w:r>
              <w:rPr/>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Document Classification:</w:t>
            </w:r>
          </w:p>
        </w:tc>
        <w:tc>
          <w:tcPr>
            <w:tcW w:w="3402" w:type="dxa"/>
            <w:tcBorders>
              <w:top w:val="single" w:sz="6" w:space="0" w:color="000000"/>
              <w:bottom w:val="single" w:sz="6" w:space="0" w:color="000000"/>
              <w:end w:val="single" w:sz="6" w:space="0" w:color="000000"/>
            </w:tcBorders>
          </w:tcPr>
          <w:p>
            <w:pPr>
              <w:pStyle w:val="Normal"/>
              <w:rPr/>
            </w:pPr>
            <w:r>
              <w:rPr/>
              <w:t xml:space="preserve">Draft </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Version:</w:t>
            </w:r>
          </w:p>
        </w:tc>
        <w:tc>
          <w:tcPr>
            <w:tcW w:w="3402" w:type="dxa"/>
            <w:tcBorders>
              <w:top w:val="single" w:sz="6" w:space="0" w:color="000000"/>
              <w:bottom w:val="single" w:sz="6" w:space="0" w:color="000000"/>
              <w:end w:val="single" w:sz="6" w:space="0" w:color="000000"/>
            </w:tcBorders>
          </w:tcPr>
          <w:p>
            <w:pPr>
              <w:pStyle w:val="Normal"/>
              <w:jc w:val="both"/>
              <w:rPr>
                <w:i/>
                <w:i/>
              </w:rPr>
            </w:pPr>
            <w:r>
              <w:rPr>
                <w:i/>
              </w:rPr>
              <w:t>1.00</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Filename:</w:t>
            </w:r>
          </w:p>
        </w:tc>
        <w:tc>
          <w:tcPr>
            <w:tcW w:w="3402" w:type="dxa"/>
            <w:tcBorders>
              <w:top w:val="single" w:sz="6" w:space="0" w:color="000000"/>
              <w:bottom w:val="single" w:sz="6" w:space="0" w:color="000000"/>
              <w:end w:val="single" w:sz="6" w:space="0" w:color="000000"/>
            </w:tcBorders>
          </w:tcPr>
          <w:p>
            <w:pPr>
              <w:pStyle w:val="Normal"/>
              <w:jc w:val="both"/>
              <w:rPr>
                <w:i/>
                <w:i/>
              </w:rPr>
            </w:pPr>
            <w:r>
              <w:rPr>
                <w:i/>
              </w:rPr>
              <w:t>See footer</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Prepared by:</w:t>
            </w:r>
          </w:p>
        </w:tc>
        <w:tc>
          <w:tcPr>
            <w:tcW w:w="3402" w:type="dxa"/>
            <w:tcBorders>
              <w:top w:val="single" w:sz="6" w:space="0" w:color="000000"/>
              <w:bottom w:val="single" w:sz="6" w:space="0" w:color="000000"/>
              <w:end w:val="single" w:sz="6" w:space="0" w:color="000000"/>
            </w:tcBorders>
          </w:tcPr>
          <w:p>
            <w:pPr>
              <w:pStyle w:val="Normal"/>
              <w:jc w:val="both"/>
              <w:rPr>
                <w:i/>
                <w:i/>
              </w:rPr>
            </w:pPr>
            <w:r>
              <w:rPr>
                <w:i/>
              </w:rPr>
              <w:t>Rob Fenton-Stone</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Date:</w:t>
            </w:r>
          </w:p>
        </w:tc>
        <w:tc>
          <w:tcPr>
            <w:tcW w:w="3402" w:type="dxa"/>
            <w:tcBorders>
              <w:top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1906" w:h="16838"/>
          <w:pgMar w:left="1440" w:right="1440" w:gutter="0" w:header="720" w:top="1440" w:footer="598" w:bottom="680"/>
          <w:pgNumType w:fmt="decimal"/>
          <w:formProt w:val="false"/>
          <w:titlePg/>
          <w:textDirection w:val="lrTb"/>
          <w:docGrid w:type="default" w:linePitch="360" w:charSpace="0"/>
        </w:sectPr>
        <w:pStyle w:val="Normal"/>
        <w:rPr/>
      </w:pPr>
      <w:r>
        <w:rPr/>
      </w:r>
    </w:p>
    <w:p>
      <w:pPr>
        <w:pStyle w:val="Normal"/>
        <w:rPr>
          <w:color w:val="800080"/>
        </w:rPr>
      </w:pPr>
      <w:r>
        <w:rPr>
          <w:color w:val="800080"/>
        </w:rPr>
      </w:r>
    </w:p>
    <w:p>
      <w:pPr>
        <w:pStyle w:val="Normal"/>
        <w:jc w:val="center"/>
        <w:rPr>
          <w:b/>
          <w:color w:val="800080"/>
          <w:sz w:val="28"/>
          <w:u w:val="single"/>
        </w:rPr>
      </w:pPr>
      <w:r>
        <w:rPr>
          <w:b/>
          <w:color w:val="800080"/>
          <w:sz w:val="28"/>
          <w:u w:val="single"/>
        </w:rPr>
      </w:r>
    </w:p>
    <w:p>
      <w:pPr>
        <w:pStyle w:val="Normal"/>
        <w:jc w:val="center"/>
        <w:rPr>
          <w:b/>
          <w:sz w:val="28"/>
          <w:u w:val="single"/>
        </w:rPr>
      </w:pPr>
      <w:r>
        <w:rPr>
          <w:b/>
          <w:sz w:val="28"/>
          <w:u w:val="single"/>
        </w:rPr>
      </w:r>
    </w:p>
    <w:p>
      <w:pPr>
        <w:pStyle w:val="Normal"/>
        <w:numPr>
          <w:ilvl w:val="0"/>
          <w:numId w:val="0"/>
        </w:numPr>
        <w:jc w:val="center"/>
        <w:outlineLvl w:val="0"/>
        <w:rPr>
          <w:b/>
          <w:sz w:val="28"/>
          <w:u w:val="single"/>
        </w:rPr>
      </w:pPr>
      <w:r>
        <w:rPr>
          <w:b/>
          <w:sz w:val="28"/>
          <w:u w:val="single"/>
        </w:rPr>
        <w:t>Sign off</w:t>
      </w:r>
    </w:p>
    <w:p>
      <w:pPr>
        <w:pStyle w:val="Normal"/>
        <w:rPr>
          <w:b/>
          <w:sz w:val="28"/>
          <w:u w:val="single"/>
        </w:rPr>
      </w:pPr>
      <w:r>
        <w:rPr>
          <w:b/>
          <w:sz w:val="28"/>
          <w:u w:val="single"/>
        </w:rPr>
      </w:r>
    </w:p>
    <w:p>
      <w:pPr>
        <w:pStyle w:val="Normal"/>
        <w:rPr/>
      </w:pPr>
      <w:r>
        <w:rPr/>
      </w:r>
    </w:p>
    <w:p>
      <w:pPr>
        <w:pStyle w:val="Normal"/>
        <w:rPr/>
      </w:pPr>
      <w:r>
        <w:rPr/>
      </w:r>
    </w:p>
    <w:p>
      <w:pPr>
        <w:pStyle w:val="BodyTextIndent"/>
        <w:ind w:start="0" w:end="0"/>
        <w:jc w:val="both"/>
        <w:rPr/>
      </w:pPr>
      <w:r>
        <w:rPr/>
        <w:t>The signatories agree with the definitions, processes and recommendations stated in this document and agree for the next phase to begin based on this document.</w:t>
      </w:r>
    </w:p>
    <w:p>
      <w:pPr>
        <w:pStyle w:val="BodyTextIndent"/>
        <w:jc w:val="both"/>
        <w:rPr/>
      </w:pPr>
      <w:r>
        <w:rPr/>
      </w:r>
    </w:p>
    <w:p>
      <w:pPr>
        <w:pStyle w:val="BodyTextIndent"/>
        <w:jc w:val="both"/>
        <w:rPr/>
      </w:pPr>
      <w:r>
        <w:rPr/>
      </w:r>
    </w:p>
    <w:p>
      <w:pPr>
        <w:pStyle w:val="BodyTextIndent"/>
        <w:jc w:val="both"/>
        <w:rPr/>
      </w:pPr>
      <w:r>
        <w:rPr/>
      </w:r>
    </w:p>
    <w:p>
      <w:pPr>
        <w:pStyle w:val="BodyTextIndent"/>
        <w:jc w:val="both"/>
        <w:rPr>
          <w:lang w:val="en-CA"/>
        </w:rPr>
      </w:pPr>
      <w:r>
        <w:rPr>
          <w:lang w:val="en-CA"/>
        </w:rPr>
        <mc:AlternateContent>
          <mc:Choice Requires="wps">
            <w:drawing>
              <wp:anchor behindDoc="0" distT="0" distB="0" distL="114935" distR="114935" simplePos="0" locked="0" layoutInCell="1" allowOverlap="1" relativeHeight="5">
                <wp:simplePos x="0" y="0"/>
                <wp:positionH relativeFrom="column">
                  <wp:posOffset>-45720</wp:posOffset>
                </wp:positionH>
                <wp:positionV relativeFrom="paragraph">
                  <wp:posOffset>1905</wp:posOffset>
                </wp:positionV>
                <wp:extent cx="5303520" cy="5014595"/>
                <wp:effectExtent l="5080" t="5715" r="5080" b="4445"/>
                <wp:wrapNone/>
                <wp:docPr id="4" name=""/>
                <a:graphic xmlns:a="http://schemas.openxmlformats.org/drawingml/2006/main">
                  <a:graphicData uri="http://schemas.microsoft.com/office/word/2010/wordprocessingShape">
                    <wps:wsp>
                      <wps:cNvSpPr/>
                      <wps:spPr>
                        <a:xfrm>
                          <a:off x="0" y="0"/>
                          <a:ext cx="5303520" cy="50144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0.15pt;width:417.55pt;height:394.8pt;mso-wrap-style:none;v-text-anchor:middle">
                <v:fill o:detectmouseclick="t" on="false"/>
                <v:stroke color="black" weight="9360" joinstyle="miter" endcap="flat"/>
                <w10:wrap type="none"/>
              </v:rect>
            </w:pict>
          </mc:Fallback>
        </mc:AlternateContent>
      </w:r>
    </w:p>
    <w:p>
      <w:pPr>
        <w:pStyle w:val="BodyTextIndent"/>
        <w:ind w:start="0" w:end="0"/>
        <w:jc w:val="both"/>
        <w:rPr/>
      </w:pPr>
      <w:r>
        <w:rPr>
          <w:b/>
        </w:rPr>
        <w:t>Business Sponsor(s)</w:t>
      </w:r>
      <w:r>
        <w:rPr/>
        <w:tab/>
      </w:r>
      <w:r>
        <w:rPr>
          <w:i/>
        </w:rPr>
        <w:t>Name</w:t>
      </w:r>
    </w:p>
    <w:p>
      <w:pPr>
        <w:pStyle w:val="BodyTextIndent"/>
        <w:ind w:firstLine="720" w:start="1440" w:end="0"/>
        <w:jc w:val="both"/>
        <w:rPr>
          <w:i/>
          <w:i/>
        </w:rPr>
      </w:pPr>
      <w:r>
        <w:rPr>
          <w:i/>
        </w:rPr>
      </w:r>
    </w:p>
    <w:p>
      <w:pPr>
        <w:pStyle w:val="BodyTextIndent"/>
        <w:ind w:firstLine="720" w:start="1440" w:end="0"/>
        <w:jc w:val="both"/>
        <w:rPr/>
      </w:pPr>
      <w:r>
        <w:rPr/>
        <w:t>Mike Jordan (London)</w:t>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ind w:firstLine="720" w:end="0"/>
        <w:jc w:val="both"/>
        <w:rPr/>
      </w:pPr>
      <w:r>
        <w:rPr/>
      </w:r>
    </w:p>
    <w:p>
      <w:pPr>
        <w:pStyle w:val="BodyTextIndent"/>
        <w:ind w:firstLine="720" w:start="0" w:end="0"/>
        <w:jc w:val="both"/>
        <w:rPr/>
      </w:pPr>
      <w:r>
        <w:rPr/>
        <w:tab/>
        <w:tab/>
      </w:r>
      <w:r>
        <w:rPr>
          <w:i/>
        </w:rPr>
        <w:t>Name</w:t>
      </w:r>
    </w:p>
    <w:p>
      <w:pPr>
        <w:pStyle w:val="BodyTextIndent"/>
        <w:jc w:val="both"/>
        <w:rPr/>
      </w:pPr>
      <w:r>
        <w:rPr/>
      </w:r>
    </w:p>
    <w:p>
      <w:pPr>
        <w:pStyle w:val="BodyTextIndent"/>
        <w:jc w:val="both"/>
        <w:rPr/>
      </w:pPr>
      <w:r>
        <w:rPr/>
        <w:tab/>
        <w:tab/>
        <w:tab/>
        <w:t>Sally Beck (Houston)</w:t>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start="0" w:end="0"/>
        <w:jc w:val="both"/>
        <w:rPr/>
      </w:pPr>
      <w:r>
        <w:rPr>
          <w:b/>
        </w:rPr>
        <w:t>IT Sponsor(s)</w:t>
      </w:r>
      <w:r>
        <w:rPr/>
        <w:tab/>
        <w:tab/>
      </w:r>
      <w:r>
        <w:rPr>
          <w:i/>
        </w:rPr>
        <w:t>Name</w:t>
      </w:r>
    </w:p>
    <w:p>
      <w:pPr>
        <w:pStyle w:val="BodyTextIndent"/>
        <w:ind w:firstLine="720" w:end="0"/>
        <w:jc w:val="both"/>
        <w:rPr>
          <w:i/>
          <w:i/>
        </w:rPr>
      </w:pPr>
      <w:r>
        <w:rPr>
          <w:i/>
        </w:rPr>
      </w:r>
    </w:p>
    <w:p>
      <w:pPr>
        <w:pStyle w:val="BodyTextIndent"/>
        <w:ind w:firstLine="720" w:end="0"/>
        <w:jc w:val="both"/>
        <w:rPr/>
      </w:pPr>
      <w:r>
        <w:rPr/>
        <w:tab/>
        <w:tab/>
        <w:t>John Paskin (London)</w:t>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firstLine="720" w:start="0" w:end="0"/>
        <w:jc w:val="both"/>
        <w:rPr/>
      </w:pPr>
      <w:r>
        <w:rPr/>
        <w:tab/>
        <w:tab/>
      </w:r>
      <w:r>
        <w:rPr>
          <w:i/>
        </w:rPr>
        <w:t>Name</w:t>
      </w:r>
    </w:p>
    <w:p>
      <w:pPr>
        <w:pStyle w:val="BodyTextIndent"/>
        <w:jc w:val="both"/>
        <w:rPr/>
      </w:pPr>
      <w:r>
        <w:rPr/>
      </w:r>
    </w:p>
    <w:p>
      <w:pPr>
        <w:pStyle w:val="BodyTextIndent"/>
        <w:jc w:val="both"/>
        <w:rPr/>
      </w:pPr>
      <w:r>
        <w:rPr/>
        <w:tab/>
        <w:tab/>
        <w:tab/>
        <w:t>Phil Yoxall (London)</w:t>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BodyTextIndent"/>
        <w:jc w:val="both"/>
        <w:rPr/>
      </w:pPr>
      <w:r>
        <w:rPr/>
      </w:r>
    </w:p>
    <w:p>
      <w:pPr>
        <w:pStyle w:val="BodyTextIndent"/>
        <w:ind w:firstLine="720" w:end="0"/>
        <w:jc w:val="both"/>
        <w:rPr/>
      </w:pPr>
      <w:r>
        <w:rPr/>
        <w:tab/>
        <w:tab/>
      </w:r>
      <w:r>
        <w:rPr>
          <w:i/>
        </w:rPr>
        <w:t>Name</w:t>
      </w:r>
    </w:p>
    <w:p>
      <w:pPr>
        <w:pStyle w:val="BodyTextIndent"/>
        <w:ind w:firstLine="720" w:end="0"/>
        <w:jc w:val="both"/>
        <w:rPr>
          <w:i/>
          <w:i/>
        </w:rPr>
      </w:pPr>
      <w:r>
        <w:rPr>
          <w:i/>
        </w:rPr>
      </w:r>
    </w:p>
    <w:p>
      <w:pPr>
        <w:pStyle w:val="BodyTextIndent"/>
        <w:ind w:firstLine="720" w:start="1440" w:end="0"/>
        <w:jc w:val="both"/>
        <w:rPr/>
      </w:pPr>
      <w:r>
        <w:rPr/>
        <w:t>Beth Perlman (Houston)</w:t>
      </w:r>
    </w:p>
    <w:p>
      <w:pPr>
        <w:pStyle w:val="BodyTextIndent"/>
        <w:ind w:firstLine="720" w:start="1440" w:end="0"/>
        <w:jc w:val="both"/>
        <w:rPr/>
      </w:pPr>
      <w:r>
        <w:rPr/>
        <w:t xml:space="preserve">_______________________ </w:t>
        <w:tab/>
        <w:tab/>
        <w:t>Date ______________</w:t>
      </w:r>
    </w:p>
    <w:p>
      <w:pPr>
        <w:pStyle w:val="BodyTextIndent"/>
        <w:jc w:val="both"/>
        <w:rPr/>
      </w:pPr>
      <w:r>
        <w:rPr/>
      </w:r>
    </w:p>
    <w:p>
      <w:pPr>
        <w:pStyle w:val="Normal"/>
        <w:rPr/>
      </w:pPr>
      <w:r>
        <w:rPr/>
      </w:r>
      <w:r>
        <w:br w:type="page"/>
      </w:r>
    </w:p>
    <w:p>
      <w:pPr>
        <w:pStyle w:val="Normal"/>
        <w:rPr/>
      </w:pPr>
      <w:r>
        <w:rPr/>
      </w:r>
    </w:p>
    <w:tbl>
      <w:tblPr>
        <w:tblW w:w="9072" w:type="dxa"/>
        <w:jc w:val="start"/>
        <w:tblInd w:w="108" w:type="dxa"/>
        <w:tblLayout w:type="fixed"/>
        <w:tblCellMar>
          <w:top w:w="0" w:type="dxa"/>
          <w:start w:w="108" w:type="dxa"/>
          <w:bottom w:w="0" w:type="dxa"/>
          <w:end w:w="108" w:type="dxa"/>
        </w:tblCellMar>
      </w:tblPr>
      <w:tblGrid>
        <w:gridCol w:w="9072"/>
      </w:tblGrid>
      <w:tr>
        <w:trPr/>
        <w:tc>
          <w:tcPr>
            <w:tcW w:w="9072" w:type="dxa"/>
            <w:tcBorders>
              <w:top w:val="single" w:sz="6" w:space="0" w:color="000000"/>
              <w:start w:val="single" w:sz="6" w:space="0" w:color="000000"/>
              <w:bottom w:val="single" w:sz="6" w:space="0" w:color="000000"/>
              <w:end w:val="single" w:sz="6" w:space="0" w:color="000000"/>
            </w:tcBorders>
            <w:shd w:fill="000000" w:val="clear"/>
          </w:tcPr>
          <w:p>
            <w:pPr>
              <w:pStyle w:val="Normal"/>
              <w:rPr/>
            </w:pPr>
            <w:r>
              <w:rPr/>
              <w:t>Problem statement</w:t>
            </w:r>
          </w:p>
        </w:tc>
      </w:tr>
      <w:tr>
        <w:trPr/>
        <w:tc>
          <w:tcPr>
            <w:tcW w:w="9072" w:type="dxa"/>
            <w:tcBorders>
              <w:top w:val="single" w:sz="6" w:space="0" w:color="000000"/>
              <w:start w:val="single" w:sz="6" w:space="0" w:color="000000"/>
              <w:bottom w:val="single" w:sz="6" w:space="0" w:color="000000"/>
              <w:end w:val="single" w:sz="6" w:space="0" w:color="000000"/>
            </w:tcBorders>
          </w:tcPr>
          <w:p>
            <w:pPr>
              <w:pStyle w:val="Header"/>
              <w:tabs>
                <w:tab w:val="clear" w:pos="4153"/>
                <w:tab w:val="clear" w:pos="8306"/>
              </w:tabs>
              <w:snapToGrid w:val="false"/>
              <w:rPr>
                <w:lang w:val="en-US"/>
              </w:rPr>
            </w:pPr>
            <w:r>
              <w:rPr>
                <w:lang w:val="en-US"/>
              </w:rPr>
            </w:r>
          </w:p>
          <w:p>
            <w:pPr>
              <w:pStyle w:val="Normal"/>
              <w:rPr/>
            </w:pPr>
            <w:r>
              <w:rPr/>
              <w:t>Trading data is not easily accessible or consistently presented across commodities and lacks granularity.</w:t>
            </w:r>
          </w:p>
          <w:p>
            <w:pPr>
              <w:pStyle w:val="Normal"/>
              <w:rPr/>
            </w:pPr>
            <w:r>
              <w:rPr/>
              <w:t>There is a need to feed down-stream systems with quality, timely and consistent cross-product data. This is hampered because data is currently held in separated silos both within product process flows and across product lines, often at a summarised level.</w:t>
            </w:r>
          </w:p>
          <w:p>
            <w:pPr>
              <w:pStyle w:val="Normal"/>
              <w:rPr/>
            </w:pPr>
            <w:r>
              <w:rPr/>
            </w:r>
          </w:p>
          <w:p>
            <w:pPr>
              <w:pStyle w:val="Normal"/>
              <w:rPr>
                <w:lang w:val="en-US"/>
              </w:rPr>
            </w:pPr>
            <w:r>
              <w:rPr/>
              <w:t>The Daily Trading Ledger project had developed a pilot warehouse in order to fulfil its own information needs.  As awareness of DTL has grown, the full potential of the underlying warehouse has become clear, with many teams asking for access and demanding a wide range of data.  In order to ensure that the potential of the warehouse and these needs are met; and the benefits are fully captured for Enron, it is necessary to break out the EnLighten warehouse into a formal project in its own right.</w:t>
            </w:r>
          </w:p>
          <w:p>
            <w:pPr>
              <w:pStyle w:val="FootnoteText"/>
              <w:rPr>
                <w:lang w:val="en-US"/>
              </w:rPr>
            </w:pPr>
            <w:r>
              <w:rPr>
                <w:lang w:val="en-US"/>
              </w:rPr>
            </w:r>
          </w:p>
        </w:tc>
      </w:tr>
      <w:tr>
        <w:trPr/>
        <w:tc>
          <w:tcPr>
            <w:tcW w:w="9072" w:type="dxa"/>
            <w:tcBorders>
              <w:top w:val="single" w:sz="6" w:space="0" w:color="000000"/>
              <w:start w:val="single" w:sz="6" w:space="0" w:color="000000"/>
              <w:bottom w:val="single" w:sz="6" w:space="0" w:color="000000"/>
              <w:end w:val="single" w:sz="6" w:space="0" w:color="000000"/>
            </w:tcBorders>
            <w:shd w:fill="000000" w:val="clear"/>
          </w:tcPr>
          <w:p>
            <w:pPr>
              <w:pStyle w:val="FootnoteText"/>
              <w:rPr/>
            </w:pPr>
            <w:r>
              <w:rPr/>
              <w:t>Project Vision</w:t>
            </w:r>
          </w:p>
        </w:tc>
      </w:tr>
      <w:tr>
        <w:trPr/>
        <w:tc>
          <w:tcPr>
            <w:tcW w:w="9072" w:type="dxa"/>
            <w:tcBorders>
              <w:top w:val="single" w:sz="6" w:space="0" w:color="000000"/>
              <w:start w:val="single" w:sz="6" w:space="0" w:color="000000"/>
              <w:bottom w:val="single" w:sz="6" w:space="0" w:color="000000"/>
              <w:end w:val="single" w:sz="6" w:space="0" w:color="000000"/>
            </w:tcBorders>
          </w:tcPr>
          <w:p>
            <w:pPr>
              <w:pStyle w:val="Normal"/>
              <w:snapToGrid w:val="false"/>
              <w:rPr>
                <w:i/>
                <w:i/>
                <w:lang w:val="en-US"/>
              </w:rPr>
            </w:pPr>
            <w:r>
              <w:rPr>
                <w:i/>
                <w:lang w:val="en-US"/>
              </w:rPr>
            </w:r>
          </w:p>
          <w:p>
            <w:pPr>
              <w:pStyle w:val="Normal"/>
              <w:rPr/>
            </w:pPr>
            <w:r>
              <w:rPr/>
              <w:t xml:space="preserve">The vision is to feed all trade valuation, accounting and settlement data into a data warehouse at deal level, using globally compatible data models and reference data, which will allow mirrored databases to exist in Houston and London.  The warehouse can then feed middle office cross-product systems with relevant trade data from a single, quality controlled, standardised source.  </w:t>
            </w:r>
          </w:p>
          <w:p>
            <w:pPr>
              <w:pStyle w:val="Normal"/>
              <w:rPr/>
            </w:pPr>
            <w:r>
              <w:rPr/>
            </w:r>
          </w:p>
          <w:p>
            <w:pPr>
              <w:pStyle w:val="Normal"/>
              <w:rPr/>
            </w:pPr>
            <w:r>
              <w:rPr/>
              <w:t>The EnLighten team will be the guardians and driving force behind the straight through processing  environment and the architectural principles underpinning this.</w:t>
            </w:r>
          </w:p>
          <w:p>
            <w:pPr>
              <w:pStyle w:val="Normal"/>
              <w:rPr/>
            </w:pPr>
            <w:r>
              <w:rPr/>
            </w:r>
          </w:p>
          <w:p>
            <w:pPr>
              <w:pStyle w:val="Normal"/>
              <w:rPr/>
            </w:pPr>
            <w:r>
              <w:rPr/>
              <w:t xml:space="preserve">By using an Extraction, Transformation and Load (ETL) tool, the data flows should allow plug-&amp;-play additions and upgrades to components of the architecture without multiple feed re-writes.  </w:t>
            </w:r>
          </w:p>
          <w:p>
            <w:pPr>
              <w:pStyle w:val="Normal"/>
              <w:rPr/>
            </w:pPr>
            <w:r>
              <w:rPr/>
            </w:r>
          </w:p>
          <w:p>
            <w:pPr>
              <w:pStyle w:val="Normal"/>
              <w:rPr>
                <w:i/>
                <w:i/>
                <w:lang w:val="en-US"/>
              </w:rPr>
            </w:pPr>
            <w:r>
              <w:rPr/>
              <w:t>The EnLighten team will control the roll out program and mange the delivery pipeline.</w:t>
            </w:r>
          </w:p>
          <w:p>
            <w:pPr>
              <w:pStyle w:val="FootnoteText"/>
              <w:rPr>
                <w:i/>
                <w:i/>
                <w:lang w:val="en-US"/>
              </w:rPr>
            </w:pPr>
            <w:r>
              <w:rPr>
                <w:i/>
                <w:lang w:val="en-US"/>
              </w:rPr>
            </w:r>
          </w:p>
        </w:tc>
      </w:tr>
      <w:tr>
        <w:trPr/>
        <w:tc>
          <w:tcPr>
            <w:tcW w:w="9072" w:type="dxa"/>
            <w:tcBorders>
              <w:top w:val="single" w:sz="6" w:space="0" w:color="000000"/>
              <w:start w:val="single" w:sz="6" w:space="0" w:color="000000"/>
              <w:bottom w:val="single" w:sz="6" w:space="0" w:color="000000"/>
              <w:end w:val="single" w:sz="6" w:space="0" w:color="000000"/>
            </w:tcBorders>
            <w:shd w:fill="000000" w:val="clear"/>
          </w:tcPr>
          <w:p>
            <w:pPr>
              <w:pStyle w:val="Normal"/>
              <w:rPr/>
            </w:pPr>
            <w:r>
              <w:rPr/>
              <w:t>Project Scope</w:t>
            </w:r>
          </w:p>
        </w:tc>
      </w:tr>
      <w:tr>
        <w:trPr/>
        <w:tc>
          <w:tcPr>
            <w:tcW w:w="907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rPr/>
            </w:pPr>
            <w:r>
              <w:rPr/>
              <w:t xml:space="preserve">The EnLighten team will be responsible for </w:t>
            </w:r>
          </w:p>
          <w:p>
            <w:pPr>
              <w:pStyle w:val="Normal"/>
              <w:numPr>
                <w:ilvl w:val="0"/>
                <w:numId w:val="6"/>
              </w:numPr>
              <w:rPr/>
            </w:pPr>
            <w:r>
              <w:rPr/>
              <w:t>managing the future roll-out of data warehouse to new commodities and new users of the data</w:t>
            </w:r>
          </w:p>
          <w:p>
            <w:pPr>
              <w:pStyle w:val="Normal"/>
              <w:numPr>
                <w:ilvl w:val="0"/>
                <w:numId w:val="6"/>
              </w:numPr>
              <w:rPr/>
            </w:pPr>
            <w:r>
              <w:rPr/>
              <w:t>the specification of feeds into the warehouse</w:t>
            </w:r>
          </w:p>
          <w:p>
            <w:pPr>
              <w:pStyle w:val="Normal"/>
              <w:numPr>
                <w:ilvl w:val="0"/>
                <w:numId w:val="6"/>
              </w:numPr>
              <w:rPr/>
            </w:pPr>
            <w:r>
              <w:rPr/>
              <w:t>the building of feeds in for static data (GCP, GCC)</w:t>
            </w:r>
          </w:p>
          <w:p>
            <w:pPr>
              <w:pStyle w:val="Normal"/>
              <w:numPr>
                <w:ilvl w:val="0"/>
                <w:numId w:val="6"/>
              </w:numPr>
              <w:rPr/>
            </w:pPr>
            <w:r>
              <w:rPr/>
              <w:t>the building of feeds out to down-stream systems</w:t>
            </w:r>
          </w:p>
          <w:p>
            <w:pPr>
              <w:pStyle w:val="Normal"/>
              <w:numPr>
                <w:ilvl w:val="0"/>
                <w:numId w:val="6"/>
              </w:numPr>
              <w:rPr/>
            </w:pPr>
            <w:r>
              <w:rPr/>
              <w:t>the daily support of the ETL process and the data warehouse</w:t>
            </w:r>
          </w:p>
          <w:p>
            <w:pPr>
              <w:pStyle w:val="Normal"/>
              <w:numPr>
                <w:ilvl w:val="0"/>
                <w:numId w:val="6"/>
              </w:numPr>
              <w:rPr/>
            </w:pPr>
            <w:r>
              <w:rPr/>
              <w:t>processing &amp; controlling feeds, escalation and call out support</w:t>
            </w:r>
          </w:p>
          <w:p>
            <w:pPr>
              <w:pStyle w:val="Normal"/>
              <w:numPr>
                <w:ilvl w:val="0"/>
                <w:numId w:val="6"/>
              </w:numPr>
              <w:rPr/>
            </w:pPr>
            <w:r>
              <w:rPr/>
              <w:t>managing the LOM-GCP and LOM-SAP interfaces</w:t>
            </w:r>
          </w:p>
          <w:p>
            <w:pPr>
              <w:pStyle w:val="Normal"/>
              <w:rPr/>
            </w:pPr>
            <w:r>
              <w:rPr/>
            </w:r>
          </w:p>
          <w:p>
            <w:pPr>
              <w:pStyle w:val="Normal"/>
              <w:rPr/>
            </w:pPr>
            <w:r>
              <w:rPr/>
              <w:t>Initial priorities will be the support of the Daily Trading Ledger roll-out to UK Gas and the support of the existing Infrastructure Team workload.</w:t>
            </w:r>
          </w:p>
          <w:p>
            <w:pPr>
              <w:pStyle w:val="Normal"/>
              <w:rPr/>
            </w:pPr>
            <w:r>
              <w:rPr/>
            </w:r>
          </w:p>
          <w:p>
            <w:pPr>
              <w:pStyle w:val="Normal"/>
              <w:rPr/>
            </w:pPr>
            <w:r>
              <w:rPr/>
              <w:t>Future developments in the near term include data feeds into EnLighten for all commodities and out to EnVoice for Gas invoicing.</w:t>
            </w:r>
          </w:p>
          <w:p>
            <w:pPr>
              <w:pStyle w:val="Normal"/>
              <w:rPr/>
            </w:pPr>
            <w:r>
              <w:rPr/>
            </w:r>
          </w:p>
          <w:p>
            <w:pPr>
              <w:pStyle w:val="Normal"/>
              <w:rPr/>
            </w:pPr>
            <w:r>
              <w:rPr/>
              <w:t>The success of the integrated architecture partly depends upon the use of standard reference data; therefore the EnLighten team will be need to promote &amp; drive the implementation and use of standard reference data via Global Common Codes, Counterparty and Contracts, throughout the middle office infrastructure.</w:t>
            </w:r>
          </w:p>
          <w:p>
            <w:pPr>
              <w:pStyle w:val="Normal"/>
              <w:rPr/>
            </w:pPr>
            <w:r>
              <w:rPr/>
            </w:r>
          </w:p>
          <w:p>
            <w:pPr>
              <w:pStyle w:val="Custom2"/>
              <w:rPr>
                <w:rFonts w:ascii="Times New Roman" w:hAnsi="Times New Roman" w:cs="Times New Roman"/>
              </w:rPr>
            </w:pPr>
            <w:r>
              <w:rPr>
                <w:rFonts w:cs="Times New Roman" w:ascii="Times New Roman" w:hAnsi="Times New Roman"/>
              </w:rPr>
              <w:t>Similarly, the benefits of an integrated architecture will be maximised through business processes that support straight through processing.  The project team will need to initiate and drive the necessary business process reviews and changes.</w:t>
            </w:r>
          </w:p>
          <w:p>
            <w:pPr>
              <w:pStyle w:val="Normal"/>
              <w:rPr>
                <w:rFonts w:ascii="Times New Roman" w:hAnsi="Times New Roman" w:cs="Times New Roman"/>
              </w:rPr>
            </w:pPr>
            <w:r>
              <w:rPr>
                <w:rFonts w:cs="Times New Roman"/>
              </w:rPr>
            </w:r>
          </w:p>
          <w:p>
            <w:pPr>
              <w:pStyle w:val="Normal"/>
              <w:rPr/>
            </w:pPr>
            <w:r>
              <w:rPr/>
              <w:t>The source system IT teams will be responsible for building the feeds from their respective systems, working with the Middle Office for business input.</w:t>
            </w:r>
          </w:p>
          <w:p>
            <w:pPr>
              <w:pStyle w:val="FootnoteText"/>
              <w:rPr/>
            </w:pPr>
            <w:r>
              <w:rPr/>
            </w:r>
          </w:p>
        </w:tc>
      </w:tr>
    </w:tbl>
    <w:p>
      <w:pPr>
        <w:pStyle w:val="Normal"/>
        <w:rPr/>
      </w:pPr>
      <w:r>
        <w:br w:type="page"/>
      </w:r>
      <w:r>
        <w:rPr/>
      </w:r>
    </w:p>
    <w:tbl>
      <w:tblPr>
        <w:tblW w:w="9072" w:type="dxa"/>
        <w:jc w:val="start"/>
        <w:tblInd w:w="108" w:type="dxa"/>
        <w:tblLayout w:type="fixed"/>
        <w:tblCellMar>
          <w:top w:w="0" w:type="dxa"/>
          <w:start w:w="108" w:type="dxa"/>
          <w:bottom w:w="0" w:type="dxa"/>
          <w:end w:w="108" w:type="dxa"/>
        </w:tblCellMar>
      </w:tblPr>
      <w:tblGrid>
        <w:gridCol w:w="9072"/>
      </w:tblGrid>
      <w:tr>
        <w:trPr/>
        <w:tc>
          <w:tcPr>
            <w:tcW w:w="9072"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p>
            <w:pPr>
              <w:pStyle w:val="Normal"/>
              <w:rPr>
                <w:b/>
              </w:rPr>
            </w:pPr>
            <w:r>
              <w:rPr>
                <w:b/>
              </w:rPr>
              <w:t>Out Of Scope:</w:t>
            </w:r>
          </w:p>
          <w:p>
            <w:pPr>
              <w:pStyle w:val="Normal"/>
              <w:rPr/>
            </w:pPr>
            <w:r>
              <w:rPr/>
              <w:t>The Middle Office (Risk Management &amp; Trade Accounting) will be responsible for ensuring data appropriateness and quality assurance for all inputs and outputs, as they are the owners of the data.</w:t>
            </w:r>
          </w:p>
          <w:p>
            <w:pPr>
              <w:pStyle w:val="Normal"/>
              <w:rPr/>
            </w:pPr>
            <w:r>
              <w:rPr/>
            </w:r>
          </w:p>
        </w:tc>
      </w:tr>
      <w:tr>
        <w:trPr/>
        <w:tc>
          <w:tcPr>
            <w:tcW w:w="9072" w:type="dxa"/>
            <w:tcBorders>
              <w:top w:val="single" w:sz="6" w:space="0" w:color="000000"/>
              <w:start w:val="single" w:sz="6" w:space="0" w:color="000000"/>
              <w:bottom w:val="single" w:sz="6" w:space="0" w:color="000000"/>
              <w:end w:val="single" w:sz="6" w:space="0" w:color="000000"/>
            </w:tcBorders>
            <w:shd w:fill="000000" w:val="clear"/>
          </w:tcPr>
          <w:p>
            <w:pPr>
              <w:pStyle w:val="FootnoteText"/>
              <w:rPr/>
            </w:pPr>
            <w:r>
              <w:rPr/>
              <w:t>Anticipated benefits</w:t>
            </w:r>
          </w:p>
        </w:tc>
      </w:tr>
      <w:tr>
        <w:trPr/>
        <w:tc>
          <w:tcPr>
            <w:tcW w:w="9072" w:type="dxa"/>
            <w:tcBorders>
              <w:top w:val="single" w:sz="6" w:space="0" w:color="000000"/>
              <w:start w:val="single" w:sz="6" w:space="0" w:color="000000"/>
              <w:bottom w:val="single" w:sz="6" w:space="0" w:color="000000"/>
              <w:end w:val="single" w:sz="6" w:space="0" w:color="000000"/>
            </w:tcBorders>
          </w:tcPr>
          <w:p>
            <w:pPr>
              <w:pStyle w:val="Normal"/>
              <w:snapToGrid w:val="false"/>
              <w:rPr>
                <w:i/>
                <w:i/>
              </w:rPr>
            </w:pPr>
            <w:r>
              <w:rPr>
                <w:i/>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The trade warehouse will allow:</w:t>
            </w:r>
          </w:p>
          <w:p>
            <w:pPr>
              <w:pStyle w:val="Custom2"/>
              <w:numPr>
                <w:ilvl w:val="0"/>
                <w:numId w:val="7"/>
              </w:numPr>
              <w:rPr>
                <w:rFonts w:ascii="Times New Roman" w:hAnsi="Times New Roman" w:cs="Times New Roman"/>
                <w:i w:val="false"/>
                <w:i w:val="false"/>
                <w:lang w:val="en-US"/>
              </w:rPr>
            </w:pPr>
            <w:r>
              <w:rPr>
                <w:rFonts w:cs="Times New Roman" w:ascii="Times New Roman" w:hAnsi="Times New Roman"/>
                <w:i w:val="false"/>
                <w:lang w:val="en-US"/>
              </w:rPr>
              <w:t>the development of a cross-product straight through processing architecture for the middle office, single point of entry, control and reference for all data</w:t>
            </w:r>
          </w:p>
          <w:p>
            <w:pPr>
              <w:pStyle w:val="Custom2"/>
              <w:numPr>
                <w:ilvl w:val="0"/>
                <w:numId w:val="7"/>
              </w:numPr>
              <w:rPr>
                <w:rFonts w:ascii="Times New Roman" w:hAnsi="Times New Roman" w:cs="Times New Roman"/>
                <w:i w:val="false"/>
                <w:i w:val="false"/>
                <w:lang w:val="en-US"/>
              </w:rPr>
            </w:pPr>
            <w:r>
              <w:rPr>
                <w:rFonts w:cs="Times New Roman" w:ascii="Times New Roman" w:hAnsi="Times New Roman"/>
                <w:i w:val="false"/>
                <w:lang w:val="en-US"/>
              </w:rPr>
              <w:t>efficient access to consistent, quality assured and controlled trade data for all users across Enron, including RAC, MIS reporting to Fin Ops &amp; Corporate Office</w:t>
            </w:r>
          </w:p>
          <w:p>
            <w:pPr>
              <w:pStyle w:val="Custom2"/>
              <w:rPr>
                <w:rFonts w:ascii="Times New Roman" w:hAnsi="Times New Roman" w:cs="Times New Roman"/>
                <w:i w:val="false"/>
                <w:i w:val="false"/>
                <w:lang w:val="en-US"/>
              </w:rPr>
            </w:pPr>
            <w:r>
              <w:rPr>
                <w:rFonts w:cs="Times New Roman" w:ascii="Times New Roman" w:hAnsi="Times New Roman"/>
                <w:i w:val="false"/>
                <w:lang w:val="en-US"/>
              </w:rPr>
            </w:r>
          </w:p>
          <w:p>
            <w:pPr>
              <w:pStyle w:val="Custom2"/>
              <w:rPr>
                <w:rFonts w:ascii="Times New Roman" w:hAnsi="Times New Roman" w:cs="Times New Roman"/>
                <w:i w:val="false"/>
                <w:i w:val="false"/>
                <w:lang w:val="en-US"/>
              </w:rPr>
            </w:pPr>
            <w:r>
              <w:rPr>
                <w:rFonts w:cs="Times New Roman" w:ascii="Times New Roman" w:hAnsi="Times New Roman"/>
                <w:i w:val="false"/>
                <w:lang w:val="en-US"/>
              </w:rPr>
              <w:t>The warehouse provides the corner stone on which to build the future state application architecture.</w:t>
            </w:r>
          </w:p>
          <w:p>
            <w:pPr>
              <w:pStyle w:val="Normal"/>
              <w:rPr>
                <w:rFonts w:ascii="Times New Roman" w:hAnsi="Times New Roman" w:cs="Times New Roman"/>
                <w:i/>
                <w:i/>
                <w:lang w:val="en-US"/>
              </w:rPr>
            </w:pPr>
            <w:r>
              <w:rPr>
                <w:rFonts w:cs="Times New Roman"/>
                <w:i/>
                <w:lang w:val="en-US"/>
              </w:rPr>
            </w:r>
          </w:p>
        </w:tc>
      </w:tr>
      <w:tr>
        <w:trPr/>
        <w:tc>
          <w:tcPr>
            <w:tcW w:w="9072" w:type="dxa"/>
            <w:tcBorders>
              <w:top w:val="single" w:sz="6" w:space="0" w:color="000000"/>
              <w:start w:val="single" w:sz="6" w:space="0" w:color="000000"/>
              <w:end w:val="single" w:sz="6" w:space="0" w:color="000000"/>
            </w:tcBorders>
            <w:shd w:fill="000000" w:val="clear"/>
          </w:tcPr>
          <w:p>
            <w:pPr>
              <w:pStyle w:val="Normal"/>
              <w:rPr/>
            </w:pPr>
            <w:r>
              <w:rPr/>
              <w:t>Deliverables</w:t>
            </w:r>
          </w:p>
        </w:tc>
      </w:tr>
      <w:tr>
        <w:trPr/>
        <w:tc>
          <w:tcPr>
            <w:tcW w:w="9072"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p>
            <w:pPr>
              <w:pStyle w:val="FootnoteText"/>
              <w:rPr/>
            </w:pPr>
            <w:r>
              <w:rPr/>
              <w:t>The vision is to be achieved by:</w:t>
            </w:r>
          </w:p>
          <w:p>
            <w:pPr>
              <w:pStyle w:val="FootnoteText"/>
              <w:numPr>
                <w:ilvl w:val="0"/>
                <w:numId w:val="3"/>
              </w:numPr>
              <w:rPr/>
            </w:pPr>
            <w:r>
              <w:rPr/>
              <w:t>building a data warehouse, Oracle</w:t>
            </w:r>
          </w:p>
          <w:p>
            <w:pPr>
              <w:pStyle w:val="FootnoteText"/>
              <w:numPr>
                <w:ilvl w:val="0"/>
                <w:numId w:val="5"/>
              </w:numPr>
              <w:rPr/>
            </w:pPr>
            <w:r>
              <w:rPr/>
              <w:t>feeding with an extraction, transformation &amp; load tool, Ardent DataStage</w:t>
            </w:r>
          </w:p>
          <w:p>
            <w:pPr>
              <w:pStyle w:val="FootnoteText"/>
              <w:numPr>
                <w:ilvl w:val="0"/>
                <w:numId w:val="5"/>
              </w:numPr>
              <w:rPr/>
            </w:pPr>
            <w:r>
              <w:rPr/>
              <w:t xml:space="preserve">using TIBCO message as control </w:t>
            </w:r>
          </w:p>
          <w:p>
            <w:pPr>
              <w:pStyle w:val="FootnoteText"/>
              <w:numPr>
                <w:ilvl w:val="0"/>
                <w:numId w:val="5"/>
              </w:numPr>
              <w:rPr/>
            </w:pPr>
            <w:r>
              <w:rPr/>
              <w:t>with data feeds out to operational systems</w:t>
            </w:r>
          </w:p>
          <w:p>
            <w:pPr>
              <w:pStyle w:val="FootnoteText"/>
              <w:rPr/>
            </w:pPr>
            <w:r>
              <w:rPr/>
            </w:r>
          </w:p>
          <w:p>
            <w:pPr>
              <w:pStyle w:val="FootnoteText"/>
              <w:rPr/>
            </w:pPr>
            <w:r>
              <w:rPr/>
              <w:t>Main deliverables include:</w:t>
            </w:r>
          </w:p>
          <w:p>
            <w:pPr>
              <w:pStyle w:val="FootnoteText"/>
              <w:numPr>
                <w:ilvl w:val="0"/>
                <w:numId w:val="8"/>
              </w:numPr>
              <w:rPr/>
            </w:pPr>
            <w:r>
              <w:rPr/>
              <w:t>single global compatible data model</w:t>
            </w:r>
          </w:p>
          <w:p>
            <w:pPr>
              <w:pStyle w:val="FootnoteText"/>
              <w:numPr>
                <w:ilvl w:val="0"/>
                <w:numId w:val="8"/>
              </w:numPr>
              <w:rPr/>
            </w:pPr>
            <w:r>
              <w:rPr/>
              <w:t>implementation of hardware and software</w:t>
            </w:r>
          </w:p>
          <w:p>
            <w:pPr>
              <w:pStyle w:val="FootnoteText"/>
              <w:numPr>
                <w:ilvl w:val="0"/>
                <w:numId w:val="8"/>
              </w:numPr>
              <w:rPr/>
            </w:pPr>
            <w:r>
              <w:rPr/>
              <w:t>establishing a copy of Global Data (GCP &amp; GCC) in London</w:t>
            </w:r>
          </w:p>
          <w:p>
            <w:pPr>
              <w:pStyle w:val="FootnoteText"/>
              <w:numPr>
                <w:ilvl w:val="0"/>
                <w:numId w:val="8"/>
              </w:numPr>
              <w:rPr/>
            </w:pPr>
            <w:r>
              <w:rPr/>
              <w:t>information provision to DTL and EnVoice</w:t>
            </w:r>
          </w:p>
          <w:p>
            <w:pPr>
              <w:pStyle w:val="FootnoteText"/>
              <w:numPr>
                <w:ilvl w:val="0"/>
                <w:numId w:val="8"/>
              </w:numPr>
              <w:rPr/>
            </w:pPr>
            <w:r>
              <w:rPr/>
              <w:t xml:space="preserve">EnVoice feed to SAP </w:t>
            </w:r>
          </w:p>
          <w:p>
            <w:pPr>
              <w:pStyle w:val="FootnoteText"/>
              <w:ind w:start="360" w:end="0"/>
              <w:rPr>
                <w:b/>
              </w:rPr>
            </w:pPr>
            <w:r>
              <w:rPr>
                <w:b/>
              </w:rPr>
            </w:r>
          </w:p>
        </w:tc>
      </w:tr>
      <w:tr>
        <w:trPr/>
        <w:tc>
          <w:tcPr>
            <w:tcW w:w="9072" w:type="dxa"/>
            <w:tcBorders>
              <w:top w:val="single" w:sz="6" w:space="0" w:color="000000"/>
              <w:start w:val="single" w:sz="6" w:space="0" w:color="000000"/>
              <w:bottom w:val="single" w:sz="6" w:space="0" w:color="000000"/>
              <w:end w:val="single" w:sz="6" w:space="0" w:color="000000"/>
            </w:tcBorders>
            <w:shd w:fill="000000" w:val="clear"/>
          </w:tcPr>
          <w:p>
            <w:pPr>
              <w:pStyle w:val="Normal"/>
              <w:rPr/>
            </w:pPr>
            <w:r>
              <w:rPr/>
              <w:t>Priority &amp; Timescales</w:t>
            </w:r>
          </w:p>
        </w:tc>
      </w:tr>
      <w:tr>
        <w:trPr/>
        <w:tc>
          <w:tcPr>
            <w:tcW w:w="9072" w:type="dxa"/>
            <w:tcBorders>
              <w:top w:val="single" w:sz="6" w:space="0" w:color="000000"/>
              <w:start w:val="single" w:sz="6" w:space="0" w:color="000000"/>
              <w:bottom w:val="single" w:sz="6" w:space="0" w:color="000000"/>
              <w:end w:val="single" w:sz="6" w:space="0" w:color="000000"/>
            </w:tcBorders>
          </w:tcPr>
          <w:p>
            <w:pPr>
              <w:pStyle w:val="Custom2"/>
              <w:snapToGrid w:val="false"/>
              <w:rPr>
                <w:rFonts w:ascii="Times New Roman" w:hAnsi="Times New Roman" w:cs="Times New Roman"/>
              </w:rPr>
            </w:pPr>
            <w:r>
              <w:rPr>
                <w:rFonts w:cs="Times New Roman" w:ascii="Times New Roman" w:hAnsi="Times New Roman"/>
              </w:rPr>
            </w:r>
          </w:p>
          <w:p>
            <w:pPr>
              <w:pStyle w:val="Normal"/>
              <w:rPr/>
            </w:pPr>
            <w:r>
              <w:rPr/>
              <w:t>As the corner stone of the future state middle office architecture, the EnLighten project is of the highest priority.  The external project milestones dates which are dependant on EnLighten team deliverables include:</w:t>
            </w:r>
          </w:p>
          <w:p>
            <w:pPr>
              <w:pStyle w:val="Normal"/>
              <w:numPr>
                <w:ilvl w:val="0"/>
                <w:numId w:val="2"/>
              </w:numPr>
              <w:rPr/>
            </w:pPr>
            <w:r>
              <w:rPr/>
              <w:t>Global Products Go-Live with SAP on 1</w:t>
            </w:r>
            <w:r>
              <w:rPr>
                <w:vertAlign w:val="superscript"/>
              </w:rPr>
              <w:t>st</w:t>
            </w:r>
            <w:r>
              <w:rPr/>
              <w:t xml:space="preserve"> July 2000</w:t>
            </w:r>
          </w:p>
          <w:p>
            <w:pPr>
              <w:pStyle w:val="Normal"/>
              <w:numPr>
                <w:ilvl w:val="0"/>
                <w:numId w:val="2"/>
              </w:numPr>
              <w:rPr/>
            </w:pPr>
            <w:r>
              <w:rPr/>
              <w:t>The DTL UK Gas pilot has Go-Live Date 1</w:t>
            </w:r>
            <w:r>
              <w:rPr>
                <w:vertAlign w:val="superscript"/>
              </w:rPr>
              <w:t>st</w:t>
            </w:r>
            <w:r>
              <w:rPr/>
              <w:t xml:space="preserve"> September 2000.  </w:t>
            </w:r>
          </w:p>
          <w:p>
            <w:pPr>
              <w:pStyle w:val="Normal"/>
              <w:numPr>
                <w:ilvl w:val="0"/>
                <w:numId w:val="4"/>
              </w:numPr>
              <w:rPr/>
            </w:pPr>
            <w:r>
              <w:rPr/>
              <w:t>EnVoice for UK Gas is currently planned for Go-Live January 2001.</w:t>
            </w:r>
          </w:p>
          <w:p>
            <w:pPr>
              <w:pStyle w:val="Normal"/>
              <w:rPr>
                <w:color w:val="FF0000"/>
              </w:rPr>
            </w:pPr>
            <w:r>
              <w:rPr>
                <w:color w:val="FF0000"/>
              </w:rPr>
            </w:r>
          </w:p>
        </w:tc>
      </w:tr>
      <w:tr>
        <w:trPr/>
        <w:tc>
          <w:tcPr>
            <w:tcW w:w="9072" w:type="dxa"/>
            <w:tcBorders>
              <w:top w:val="single" w:sz="6" w:space="0" w:color="000000"/>
              <w:start w:val="single" w:sz="6" w:space="0" w:color="000000"/>
              <w:bottom w:val="single" w:sz="6" w:space="0" w:color="000000"/>
              <w:end w:val="single" w:sz="6" w:space="0" w:color="000000"/>
            </w:tcBorders>
            <w:shd w:fill="000000" w:val="clear"/>
          </w:tcPr>
          <w:p>
            <w:pPr>
              <w:pStyle w:val="Normal"/>
              <w:rPr/>
            </w:pPr>
            <w:r>
              <w:rPr/>
              <w:t>Cost estimate</w:t>
            </w:r>
          </w:p>
        </w:tc>
      </w:tr>
      <w:tr>
        <w:trPr/>
        <w:tc>
          <w:tcPr>
            <w:tcW w:w="9072" w:type="dxa"/>
            <w:tcBorders>
              <w:top w:val="single" w:sz="6" w:space="0" w:color="000000"/>
              <w:start w:val="single" w:sz="6" w:space="0" w:color="000000"/>
              <w:bottom w:val="single" w:sz="6" w:space="0" w:color="000000"/>
              <w:end w:val="single" w:sz="6" w:space="0" w:color="000000"/>
            </w:tcBorders>
          </w:tcPr>
          <w:p>
            <w:pPr>
              <w:pStyle w:val="Header"/>
              <w:tabs>
                <w:tab w:val="clear" w:pos="4153"/>
                <w:tab w:val="clear" w:pos="8306"/>
              </w:tabs>
              <w:snapToGrid w:val="false"/>
              <w:rPr/>
            </w:pPr>
            <w:r>
              <w:rPr/>
            </w:r>
          </w:p>
          <w:p>
            <w:pPr>
              <w:pStyle w:val="Header"/>
              <w:tabs>
                <w:tab w:val="clear" w:pos="4153"/>
                <w:tab w:val="clear" w:pos="8306"/>
              </w:tabs>
              <w:rPr/>
            </w:pPr>
            <w:r>
              <w:rPr/>
              <w:t>Most set-up costs are expected to be borne by the down-stream system budgets, this is be detailed further in the full Inception document.  The project team is expected to be at least 7 strong – this will expand dependant upon the number of new feeds in and out, the volume of global data and the extent business process work that is taken on concurrently.  This is also addressed in the full inception document.</w:t>
            </w:r>
          </w:p>
          <w:p>
            <w:pPr>
              <w:pStyle w:val="Header"/>
              <w:tabs>
                <w:tab w:val="clear" w:pos="4153"/>
                <w:tab w:val="clear" w:pos="8306"/>
              </w:tabs>
              <w:ind w:start="720" w:end="0"/>
              <w:rPr/>
            </w:pPr>
            <w:r>
              <w:rPr/>
            </w:r>
          </w:p>
        </w:tc>
      </w:tr>
      <w:tr>
        <w:trPr/>
        <w:tc>
          <w:tcPr>
            <w:tcW w:w="9072" w:type="dxa"/>
            <w:tcBorders>
              <w:top w:val="single" w:sz="6" w:space="0" w:color="000000"/>
              <w:start w:val="single" w:sz="6" w:space="0" w:color="000000"/>
              <w:bottom w:val="single" w:sz="6" w:space="0" w:color="000000"/>
              <w:end w:val="single" w:sz="6" w:space="0" w:color="000000"/>
            </w:tcBorders>
            <w:shd w:fill="000000" w:val="clear"/>
          </w:tcPr>
          <w:p>
            <w:pPr>
              <w:pStyle w:val="Normal"/>
              <w:rPr/>
            </w:pPr>
            <w:r>
              <w:rPr/>
              <w:t>Project Sponsor(s)</w:t>
            </w:r>
          </w:p>
        </w:tc>
      </w:tr>
      <w:tr>
        <w:trPr/>
        <w:tc>
          <w:tcPr>
            <w:tcW w:w="907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Custom2"/>
              <w:rPr>
                <w:rFonts w:ascii="Times New Roman" w:hAnsi="Times New Roman" w:cs="Times New Roman"/>
                <w:i w:val="false"/>
                <w:i w:val="false"/>
              </w:rPr>
            </w:pPr>
            <w:r>
              <w:rPr>
                <w:rFonts w:cs="Times New Roman" w:ascii="Times New Roman" w:hAnsi="Times New Roman"/>
                <w:i w:val="false"/>
              </w:rPr>
              <w:t>Mike Jordan (London Business)   Phil Yoxall &amp; Beth Perlman (IT London &amp; Houston)</w:t>
            </w:r>
          </w:p>
          <w:p>
            <w:pPr>
              <w:pStyle w:val="Normal"/>
              <w:rPr>
                <w:rFonts w:ascii="Times New Roman" w:hAnsi="Times New Roman" w:cs="Times New Roman"/>
                <w:i/>
                <w:i/>
              </w:rPr>
            </w:pPr>
            <w:r>
              <w:rPr>
                <w:rFonts w:cs="Times New Roman"/>
                <w:i/>
              </w:rPr>
            </w:r>
          </w:p>
        </w:tc>
      </w:tr>
      <w:tr>
        <w:trPr/>
        <w:tc>
          <w:tcPr>
            <w:tcW w:w="9072" w:type="dxa"/>
            <w:tcBorders>
              <w:top w:val="single" w:sz="6" w:space="0" w:color="000000"/>
              <w:start w:val="single" w:sz="6" w:space="0" w:color="000000"/>
              <w:bottom w:val="single" w:sz="6" w:space="0" w:color="000000"/>
              <w:end w:val="single" w:sz="6" w:space="0" w:color="000000"/>
            </w:tcBorders>
            <w:shd w:fill="000000" w:val="clear"/>
          </w:tcPr>
          <w:p>
            <w:pPr>
              <w:pStyle w:val="Normal"/>
              <w:rPr/>
            </w:pPr>
            <w:r>
              <w:rPr/>
              <w:t>Project Team Steering Committee</w:t>
            </w:r>
          </w:p>
        </w:tc>
      </w:tr>
      <w:tr>
        <w:trPr/>
        <w:tc>
          <w:tcPr>
            <w:tcW w:w="9072" w:type="dxa"/>
            <w:tcBorders>
              <w:top w:val="single" w:sz="6" w:space="0" w:color="000000"/>
              <w:start w:val="single" w:sz="6" w:space="0" w:color="000000"/>
              <w:bottom w:val="single" w:sz="6" w:space="0" w:color="000000"/>
              <w:end w:val="single" w:sz="6" w:space="0" w:color="000000"/>
            </w:tcBorders>
          </w:tcPr>
          <w:p>
            <w:pPr>
              <w:pStyle w:val="Header"/>
              <w:tabs>
                <w:tab w:val="clear" w:pos="4153"/>
                <w:tab w:val="clear" w:pos="8306"/>
                <w:tab w:val="left" w:pos="360" w:leader="none"/>
              </w:tabs>
              <w:snapToGrid w:val="false"/>
              <w:rPr>
                <w:color w:val="000000"/>
              </w:rPr>
            </w:pPr>
            <w:r>
              <w:rPr>
                <w:color w:val="000000"/>
              </w:rPr>
            </w:r>
          </w:p>
          <w:p>
            <w:pPr>
              <w:pStyle w:val="Normal"/>
              <w:rPr>
                <w:color w:val="000000"/>
              </w:rPr>
            </w:pPr>
            <w:r>
              <w:rPr>
                <w:color w:val="000000"/>
              </w:rPr>
              <w:t>Business  Mike Jordan</w:t>
            </w:r>
          </w:p>
          <w:p>
            <w:pPr>
              <w:pStyle w:val="Normal"/>
              <w:rPr/>
            </w:pPr>
            <w:r>
              <w:rPr>
                <w:color w:val="000000"/>
              </w:rPr>
              <w:t xml:space="preserve">IT  </w:t>
            </w:r>
            <w:r>
              <w:rPr/>
              <w:t xml:space="preserve">Phil Yoxall &amp; </w:t>
            </w:r>
            <w:r>
              <w:rPr>
                <w:color w:val="000000"/>
              </w:rPr>
              <w:t>Steve Price</w:t>
            </w:r>
          </w:p>
          <w:p>
            <w:pPr>
              <w:pStyle w:val="Normal"/>
              <w:rPr>
                <w:color w:val="000000"/>
              </w:rPr>
            </w:pPr>
            <w:r>
              <w:rPr>
                <w:color w:val="000000"/>
              </w:rPr>
              <w:t>Project Management  Rob Fenton-Stone</w:t>
            </w:r>
          </w:p>
          <w:p>
            <w:pPr>
              <w:pStyle w:val="Normal"/>
              <w:rPr>
                <w:color w:val="000000"/>
              </w:rPr>
            </w:pPr>
            <w:r>
              <w:rPr>
                <w:color w:val="000000"/>
              </w:rPr>
            </w:r>
          </w:p>
        </w:tc>
      </w:tr>
    </w:tbl>
    <w:p>
      <w:pPr>
        <w:pStyle w:val="Normal"/>
        <w:rPr/>
      </w:pPr>
      <w:r>
        <w:rPr/>
      </w:r>
    </w:p>
    <w:sectPr>
      <w:headerReference w:type="default" r:id="rId7"/>
      <w:headerReference w:type="first" r:id="rId8"/>
      <w:footerReference w:type="default" r:id="rId9"/>
      <w:footerReference w:type="first" r:id="rId10"/>
      <w:type w:val="nextPage"/>
      <w:pgSz w:w="11906" w:h="16838"/>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rStyle w:val="PageNumber"/>
        <w:rFonts w:ascii="Arial" w:hAnsi="Arial" w:cs="Arial"/>
        <w:b/>
        <w:color w:val="000080"/>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w:t>
    </w:r>
    <w:r>
      <w:rPr>
        <w:rStyle w:val="PageNumber"/>
        <w:b/>
        <w:rFonts w:cs="Arial" w:ascii="Arial" w:hAnsi="Arial"/>
        <w:color w:val="000080"/>
      </w:rPr>
      <w:fldChar w:fldCharType="end"/>
    </w:r>
  </w:p>
  <w:p>
    <w:pPr>
      <w:pStyle w:val="Footer"/>
      <w:pBdr>
        <w:top w:val="single" w:sz="12" w:space="1" w:color="000080"/>
      </w:pBdr>
      <w:tabs>
        <w:tab w:val="clear" w:pos="4153"/>
        <w:tab w:val="clear" w:pos="8306"/>
        <w:tab w:val="right" w:pos="8931" w:leader="none"/>
      </w:tabs>
      <w:rPr/>
    </w:pPr>
    <w:r>
      <w:rPr>
        <w:rStyle w:val="PageNumber"/>
        <w:rFonts w:cs="Arial" w:ascii="Arial" w:hAnsi="Arial"/>
        <w:i/>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1</w:t>
    </w:r>
    <w:r>
      <w:rPr>
        <w:sz w:val="16"/>
        <w:lang w:eastAsia="en-US"/>
      </w:rPr>
      <w:fldChar w:fldCharType="end"/>
    </w:r>
    <w:r>
      <w:rPr>
        <w:sz w:val="16"/>
        <w:lang w:eastAsia="en-US"/>
      </w:rPr>
      <w:t xml:space="preserve"> of </w:t>
    </w:r>
    <w:r>
      <w:rPr>
        <w:sz w:val="16"/>
        <w:lang w:eastAsia="en-US"/>
      </w:rPr>
      <w:fldChar w:fldCharType="begin"/>
    </w:r>
    <w:r>
      <w:rPr>
        <w:sz w:val="16"/>
        <w:lang w:eastAsia="en-US"/>
      </w:rPr>
      <w:instrText xml:space="preserve"> NUMPAGES \* ARABIC </w:instrText>
    </w:r>
    <w:r>
      <w:rPr>
        <w:sz w:val="16"/>
        <w:lang w:eastAsia="en-US"/>
      </w:rPr>
      <w:fldChar w:fldCharType="separate"/>
    </w:r>
    <w:r>
      <w:rPr>
        <w:sz w:val="16"/>
        <w:lang w:eastAsia="en-US"/>
      </w:rPr>
      <w:t>7</w:t>
    </w:r>
    <w:r>
      <w:rPr>
        <w:sz w:val="16"/>
        <w:lang w:eastAsia="en-US"/>
      </w:rPr>
      <w:fldChar w:fldCharType="end"/>
    </w:r>
    <w:r>
      <w:rPr>
        <w:sz w:val="16"/>
      </w:rPr>
      <w:tab/>
      <w:tab/>
    </w:r>
    <w:r>
      <w:rPr>
        <w:sz w:val="16"/>
        <w:lang w:eastAsia="en-US"/>
      </w:rPr>
      <w:t xml:space="preserve">Last printed </w:t>
    </w:r>
    <w:r>
      <w:rPr>
        <w:sz w:val="16"/>
        <w:lang w:eastAsia="en-US"/>
      </w:rPr>
      <w:fldChar w:fldCharType="begin"/>
    </w:r>
    <w:r>
      <w:rPr>
        <w:sz w:val="16"/>
        <w:lang w:eastAsia="en-US"/>
      </w:rPr>
      <w:instrText xml:space="preserve"> PRINTDATE \@"dd/MM/yyyy\ HH:mm:ss\ AM/PM" </w:instrText>
    </w:r>
    <w:r>
      <w:rPr>
        <w:sz w:val="16"/>
        <w:lang w:eastAsia="en-US"/>
      </w:rPr>
      <w:fldChar w:fldCharType="separate"/>
    </w:r>
    <w:r>
      <w:rPr>
        <w:sz w:val="16"/>
        <w:lang w:eastAsia="en-US"/>
      </w:rPr>
      <w:t>29/06/2000 10:07:00 AM</w:t>
    </w:r>
    <w:r>
      <w:rPr>
        <w:sz w:val="16"/>
        <w:lang w:eastAsia="en-US"/>
      </w:rPr>
      <w:fldChar w:fldCharType="end"/>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/mnt/main-storage/datasets/enron-docs/doc/Enlighten_Inception_Light.doc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7</w:t>
    </w:r>
    <w:r>
      <w:rPr>
        <w:rStyle w:val="PageNumber"/>
        <w:b/>
        <w:rFonts w:cs="Arial" w:ascii="Arial" w:hAnsi="Arial"/>
        <w:color w:val="000080"/>
      </w:rPr>
      <w:fldChar w:fldCharType="end"/>
    </w:r>
  </w:p>
  <w:p>
    <w:pPr>
      <w:pStyle w:val="Footer"/>
      <w:pBdr>
        <w:top w:val="single" w:sz="12" w:space="1" w:color="000080"/>
      </w:pBdr>
      <w:tabs>
        <w:tab w:val="clear" w:pos="4153"/>
        <w:tab w:val="clear" w:pos="8306"/>
        <w:tab w:val="right" w:pos="8931" w:leader="none"/>
      </w:tabs>
      <w:rPr/>
    </w:pPr>
    <w:r>
      <w:rPr>
        <w:rStyle w:val="PageNumber"/>
        <w:rFonts w:cs="Arial" w:ascii="Arial" w:hAnsi="Arial"/>
        <w:i/>
        <w:color w:val="000080"/>
        <w:sz w:val="16"/>
      </w:rPr>
      <w:t>Project Phase: Inception</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pPr>
    <w:r>
      <w:rPr/>
      <w:drawing>
        <wp:inline distT="0" distB="0" distL="0" distR="0">
          <wp:extent cx="459740" cy="4572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rcRect l="-39" t="-39" r="-39" b="-39"/>
                  <a:stretch>
                    <a:fillRect/>
                  </a:stretch>
                </pic:blipFill>
                <pic:spPr bwMode="auto">
                  <a:xfrm>
                    <a:off x="0" y="0"/>
                    <a:ext cx="459740" cy="457200"/>
                  </a:xfrm>
                  <a:prstGeom prst="rect">
                    <a:avLst/>
                  </a:prstGeom>
                  <a:noFill/>
                </pic:spPr>
              </pic:pic>
            </a:graphicData>
          </a:graphic>
        </wp:inline>
      </w:drawing>
    </w:r>
    <w:r>
      <w:rPr>
        <w:rFonts w:cs="Verdana" w:ascii="Verdana" w:hAnsi="Verdana"/>
      </w:rPr>
      <w:t>EnLighten</w:t>
    </w:r>
  </w:p>
  <w:p>
    <w:pPr>
      <w:pStyle w:val="Header"/>
      <w:jc w:val="center"/>
      <w:rPr>
        <w:rFonts w:ascii="Arial" w:hAnsi="Arial" w:cs="Arial"/>
        <w:sz w:val="36"/>
      </w:rPr>
    </w:pPr>
    <w:r>
      <w:rPr>
        <w:rFonts w:cs="Arial" w:ascii="Arial" w:hAnsi="Arial"/>
        <w:sz w:val="36"/>
      </w:rPr>
      <w:t>Inception - Executive summary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pPr>
    <w:r>
      <w:rPr/>
      <w:drawing>
        <wp:inline distT="0" distB="0" distL="0" distR="0">
          <wp:extent cx="459740" cy="45720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rcRect l="-39" t="-39" r="-39" b="-39"/>
                  <a:stretch>
                    <a:fillRect/>
                  </a:stretch>
                </pic:blipFill>
                <pic:spPr bwMode="auto">
                  <a:xfrm>
                    <a:off x="0" y="0"/>
                    <a:ext cx="459740" cy="457200"/>
                  </a:xfrm>
                  <a:prstGeom prst="rect">
                    <a:avLst/>
                  </a:prstGeom>
                  <a:noFill/>
                </pic:spPr>
              </pic:pic>
            </a:graphicData>
          </a:graphic>
        </wp:inline>
      </w:drawing>
    </w:r>
    <w:r>
      <w:rPr>
        <w:rFonts w:cs="Verdana" w:ascii="Verdana" w:hAnsi="Verdana"/>
      </w:rPr>
      <w:t>EnLighten</w:t>
    </w:r>
  </w:p>
  <w:p>
    <w:pPr>
      <w:pStyle w:val="Header"/>
      <w:jc w:val="center"/>
      <w:rPr>
        <w:rFonts w:ascii="Arial" w:hAnsi="Arial" w:cs="Arial"/>
        <w:sz w:val="36"/>
      </w:rPr>
    </w:pPr>
    <w:r>
      <w:rPr>
        <w:rFonts w:cs="Arial" w:ascii="Arial" w:hAnsi="Arial"/>
        <w:sz w:val="36"/>
      </w:rPr>
      <w:t>Inception - Executive summary</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color w:val="000080"/>
      <w:kern w:val="2"/>
      <w:sz w:val="28"/>
    </w:rPr>
  </w:style>
  <w:style w:type="paragraph" w:styleId="Heading2">
    <w:name w:val="heading 2"/>
    <w:basedOn w:val="Normal"/>
    <w:next w:val="Normal"/>
    <w:qFormat/>
    <w:pPr>
      <w:keepNext w:val="true"/>
      <w:numPr>
        <w:ilvl w:val="1"/>
        <w:numId w:val="1"/>
      </w:numPr>
      <w:outlineLvl w:val="1"/>
    </w:pPr>
    <w:rPr>
      <w:rFonts w:ascii="Arial" w:hAnsi="Arial" w:cs="Arial"/>
      <w:b/>
      <w:color w:val="000080"/>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color w:val="000080"/>
    </w:rPr>
  </w:style>
  <w:style w:type="paragraph" w:styleId="Heading4">
    <w:name w:val="heading 4"/>
    <w:basedOn w:val="Normal"/>
    <w:next w:val="Normal"/>
    <w:qFormat/>
    <w:pPr>
      <w:keepNext w:val="true"/>
      <w:numPr>
        <w:ilvl w:val="3"/>
        <w:numId w:val="1"/>
      </w:numPr>
      <w:outlineLvl w:val="3"/>
    </w:pPr>
    <w:rPr>
      <w:rFonts w:ascii="Arial" w:hAnsi="Arial" w:cs="Arial"/>
      <w:i/>
      <w:color w:val="000080"/>
    </w:rPr>
  </w:style>
  <w:style w:type="paragraph" w:styleId="Heading5">
    <w:name w:val="heading 5"/>
    <w:basedOn w:val="Normal"/>
    <w:next w:val="Normal"/>
    <w:qFormat/>
    <w:pPr>
      <w:keepNext w:val="true"/>
      <w:numPr>
        <w:ilvl w:val="4"/>
        <w:numId w:val="1"/>
      </w:numPr>
      <w:outlineLvl w:val="4"/>
    </w:pPr>
    <w:rPr>
      <w:rFonts w:ascii="Arial" w:hAnsi="Arial" w:cs="Arial"/>
      <w:i/>
      <w:color w:val="000080"/>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1z0">
    <w:name w:val="WW8Num21z0"/>
    <w:qFormat/>
    <w:rPr>
      <w:rFonts w:ascii="Symbol" w:hAnsi="Symbol" w:cs="Symbol"/>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i/>
      <w:sz w:val="5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432" w:end="0"/>
    </w:pPr>
    <w:rPr>
      <w:lang w:val="en-US"/>
    </w:rPr>
  </w:style>
  <w:style w:type="paragraph" w:styleId="Custom2">
    <w:name w:val="Custom 2"/>
    <w:basedOn w:val="Normal"/>
    <w:qFormat/>
    <w:pPr/>
    <w:rPr>
      <w:rFonts w:ascii="Arial" w:hAnsi="Arial" w:cs="Arial"/>
      <w:i/>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153"/>
        <w:tab w:val="clear" w:pos="8306"/>
        <w:tab w:val="center" w:pos="4513" w:leader="none"/>
        <w:tab w:val="right" w:pos="902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Low Ceremony Inception Document.dot</Template>
  <TotalTime>248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2000-06-21T12:27:00Z</dcterms:created>
  <dc:creator>James Willder</dc:creator>
  <dc:description/>
  <dc:language>en-CA</dc:language>
  <cp:lastModifiedBy>RFentonS</cp:lastModifiedBy>
  <cp:lastPrinted>2000-06-29T10:07:00Z</cp:lastPrinted>
  <dcterms:modified xsi:type="dcterms:W3CDTF">2000-06-29T07:23:00Z</dcterms:modified>
  <cp:revision>18</cp:revision>
  <dc:subject/>
  <dc:title>Synopsis for Development of Application to Show UK Price Curves</dc:title>
</cp:coreProperties>
</file>