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To assist you in reviewing the Bear, Stearns &amp; Co. Inc. stock loan agreement in connection with our excess leverage product, I am providing you a step-by-step description of the two types of transactions (i.e., (i) where the short sale proceeds collateralize the stock loan and (ii) where a long position of the same market value collateralizes the stock loan).  For purposes of this description, keep in mind that your trading is booked in your “trading account” (the 102 numbered account carried at Bear, Stearns Securities Corp. (“BSSC”)) and the stock loan and related collateral is booked in your  “borrow account” (the 109 numbered account carried at Bear, Stearns &amp; Co. Inc. (“BSCI”)).</w:t>
      </w:r>
    </w:p>
    <w:p>
      <w:pPr>
        <w:pStyle w:val="Normal"/>
        <w:jc w:val="both"/>
        <w:rPr>
          <w:sz w:val="24"/>
        </w:rPr>
      </w:pPr>
      <w:r>
        <w:rPr>
          <w:sz w:val="24"/>
        </w:rPr>
      </w:r>
    </w:p>
    <w:p>
      <w:pPr>
        <w:pStyle w:val="Normal"/>
        <w:numPr>
          <w:ilvl w:val="0"/>
          <w:numId w:val="1"/>
        </w:numPr>
        <w:jc w:val="both"/>
        <w:rPr>
          <w:sz w:val="24"/>
        </w:rPr>
      </w:pPr>
      <w:r>
        <w:rPr>
          <w:sz w:val="24"/>
        </w:rPr>
        <w:t>On trade date, you sell a stock short in your trading account.  On the trade date plus one, you are required to meet Reg T by depositing 50% of the market value of the trade in your trading account.  On trade date plus 3 (settlement date), BSCI lends you the securities by delivering the securities to BSSC, and BSSC uses the borrowed securities to settle your short sale.  On settlement, the short sale proceeds are credited to your trading account and then transferred to your borrow account.  Thus, on settlement, your trading account is flat: the short sale effected at BSSC has been settled with securities borrowed by you from another broker, BSCI, and not as a margin transaction using securities provided by the same broker.  You have a borrow account at BSCI that reflects the loan of securities and the short sale proceeds, as collateral for the loan.  The 50% you had deposited on T+1 for Reg T purposes may be released and used by you for other purposes, which would not be possible in a Reg T margin environment.</w:t>
      </w:r>
    </w:p>
    <w:p>
      <w:pPr>
        <w:pStyle w:val="Normal"/>
        <w:jc w:val="both"/>
        <w:rPr>
          <w:sz w:val="24"/>
        </w:rPr>
      </w:pPr>
      <w:r>
        <w:rPr>
          <w:sz w:val="24"/>
        </w:rPr>
      </w:r>
    </w:p>
    <w:p>
      <w:pPr>
        <w:pStyle w:val="Normal"/>
        <w:numPr>
          <w:ilvl w:val="0"/>
          <w:numId w:val="1"/>
        </w:numPr>
        <w:jc w:val="both"/>
        <w:rPr>
          <w:sz w:val="24"/>
        </w:rPr>
      </w:pPr>
      <w:r>
        <w:rPr>
          <w:sz w:val="24"/>
        </w:rPr>
        <w:t>On trade date you buy, for example, $1,000,000 GM and you sell short $1,000,000 IBM.  On  trade date plus 1, Reg T must be satisfied by depositing a total of $1,000,000 for the long and the short trades.  On trade date plus three, you have a settled long position of $1,000,000 of GM and a $1,000,000 short market value relating to the IBM short sale.  Your borrow account will reflect the $1,000,000 loan of IBM securities and the $1,000,000 worth of GM stock, as collateral.  The short sale proceeds credited to your trading account on T+3 are used to settle the long purchase, which would not be possible in a Reg T margin environment.  The $1,000,000 you had deposited to satisfy Reg T in your trading account may be released on trade date plus three and utilized to purchase other securities.</w:t>
      </w:r>
    </w:p>
    <w:p>
      <w:pPr>
        <w:pStyle w:val="Normal"/>
        <w:jc w:val="both"/>
        <w:rPr>
          <w:sz w:val="24"/>
        </w:rPr>
      </w:pPr>
      <w:r>
        <w:rPr>
          <w:sz w:val="24"/>
        </w:rPr>
      </w:r>
    </w:p>
    <w:p>
      <w:pPr>
        <w:pStyle w:val="Normal"/>
        <w:jc w:val="both"/>
        <w:rPr>
          <w:sz w:val="24"/>
        </w:rPr>
      </w:pPr>
      <w:r>
        <w:rPr>
          <w:sz w:val="24"/>
        </w:rPr>
        <w:t xml:space="preserve">In either of the scenarios outlined above, the activity in your trading account continues to be subject to Bear Stearns’ internal margin requirements.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2001-02-07T15:26:00Z</dcterms:created>
  <dc:creator>BP18445</dc:creator>
  <dc:description/>
  <dc:language>en-CA</dc:language>
  <cp:lastModifiedBy>SC5515</cp:lastModifiedBy>
  <dcterms:modified xsi:type="dcterms:W3CDTF">2001-02-07T15:53:00Z</dcterms:modified>
  <cp:revision>3</cp:revision>
  <dc:subject/>
  <dc:title>To assist you in reviewing the stock loan agreement that covers this product, I am providing you below a step-by-step description of the two types of transactions I outlined to you earlier (i</dc:title>
</cp:coreProperties>
</file>