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spacing w:before="0" w:after="120"/>
        <w:rPr>
          <w:rFonts w:ascii="Times New Roman" w:hAnsi="Times New Roman" w:cs="Times New Roman"/>
          <w:caps w:val="false"/>
          <w:smallCaps w:val="false"/>
          <w:spacing w:val="0"/>
        </w:rPr>
      </w:pPr>
      <w:r>
        <w:rPr>
          <w:rFonts w:cs="Times New Roman" w:ascii="Times New Roman" w:hAnsi="Times New Roman"/>
          <w:caps w:val="false"/>
          <w:smallCaps w:val="false"/>
          <w:spacing w:val="0"/>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INTERNATIONAL CORP., a corporation organized under the laws of the State of Delaware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_____________________________________, a _____________ organized under the laws of the ____________ of ________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for the purpose 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0" w:leader="none"/>
        </w:tabs>
        <w:ind w:start="1440" w:end="0"/>
        <w:jc w:val="both"/>
        <w:rPr/>
      </w:pPr>
      <w:r>
        <w:rPr>
          <w:rFonts w:cs="Times New Roman" w:ascii="Times New Roman" w:hAnsi="Times New Roman"/>
          <w:sz w:val="22"/>
        </w:rPr>
        <w:t xml:space="preserve">Section 5(a)(v),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5(b)(iv), </w:t>
      </w:r>
      <w:r>
        <w:rPr>
          <w:rFonts w:cs="Times New Roman" w:ascii="Times New Roman" w:hAnsi="Times New Roman"/>
          <w:sz w:val="22"/>
          <w:u w:val="single"/>
        </w:rPr>
        <w:tab/>
      </w:r>
      <w:r>
        <w:rPr>
          <w:rFonts w:cs="Times New Roman" w:ascii="Times New Roman" w:hAnsi="Times New Roman"/>
          <w:sz w:val="22"/>
        </w:rPr>
        <w:t>;</w:t>
      </w:r>
    </w:p>
    <w:p>
      <w:pPr>
        <w:pStyle w:val="Normal"/>
        <w:spacing w:lineRule="exact" w:line="240" w:before="240" w:after="0"/>
        <w:ind w:start="1440" w:end="0"/>
        <w:jc w:val="both"/>
        <w:rPr>
          <w:rFonts w:ascii="Times New Roman" w:hAnsi="Times New Roman" w:cs="Times New Roman"/>
          <w:sz w:val="22"/>
        </w:rPr>
      </w:pPr>
      <w:r>
        <w:rPr>
          <w:rFonts w:cs="Times New Roman" w:ascii="Times New Roman" w:hAnsi="Times New Roman"/>
          <w:sz w:val="22"/>
        </w:rPr>
        <w:t>and in relation to Party B, for the purpose of:</w:t>
      </w:r>
    </w:p>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0" w:leader="none"/>
        </w:tabs>
        <w:ind w:start="1440" w:end="0"/>
        <w:jc w:val="both"/>
        <w:rPr/>
      </w:pPr>
      <w:r>
        <w:rPr>
          <w:rFonts w:cs="Times New Roman" w:ascii="Times New Roman" w:hAnsi="Times New Roman"/>
          <w:sz w:val="22"/>
        </w:rPr>
        <w:t xml:space="preserve">Section 5(a)(v),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rFonts w:ascii="Times New Roman" w:hAnsi="Times New Roman" w:cs="Times New Roman"/>
          <w:sz w:val="22"/>
        </w:rPr>
      </w:pPr>
      <w:r>
        <w:rPr>
          <w:rFonts w:cs="Times New Roman" w:ascii="Times New Roman" w:hAnsi="Times New Roman"/>
          <w:sz w:val="22"/>
        </w:rPr>
        <w:t xml:space="preserve">Section 5(b)(iv), </w:t>
      </w:r>
      <w:r>
        <w:rPr>
          <w:rFonts w:cs="Times New Roman" w:ascii="Times New Roman" w:hAnsi="Times New Roman"/>
          <w:sz w:val="22"/>
          <w:u w:val="single"/>
        </w:rPr>
        <w:tab/>
      </w:r>
      <w:r>
        <w:rPr>
          <w:rFonts w:cs="Times New Roman" w:ascii="Times New Roman" w:hAnsi="Times New Roman"/>
          <w:sz w:val="22"/>
        </w:rPr>
        <w:t>.</w:t>
      </w:r>
      <w:r>
        <w:rPr>
          <w:rFonts w:cs="Times New Roman" w:ascii="Times New Roman" w:hAnsi="Times New Roman"/>
          <w:color w:val="FF0000"/>
          <w:sz w:val="22"/>
        </w:rPr>
        <w:t>]</w:t>
      </w:r>
      <w:r>
        <w:rPr>
          <w:rStyle w:val="FootnoteCharacters"/>
          <w:rStyle w:val="FootnoteReference"/>
          <w:rFonts w:cs="Times New Roman" w:ascii="Times New Roman" w:hAnsi="Times New Roman"/>
          <w:color w:val="000000"/>
        </w:rPr>
        <w:footnoteReference w:id="2"/>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w:t>
        <w:tab/>
        <w:t>The “</w:t>
      </w:r>
      <w:r>
        <w:rPr>
          <w:rFonts w:cs="Times New Roman" w:ascii="Times New Roman" w:hAnsi="Times New Roman"/>
          <w:b/>
          <w:sz w:val="22"/>
        </w:rPr>
        <w:t>Cross Default”</w:t>
      </w:r>
      <w:r>
        <w:rPr>
          <w:rFonts w:cs="Times New Roman" w:ascii="Times New Roman" w:hAnsi="Times New Roman"/>
          <w:sz w:val="22"/>
        </w:rPr>
        <w:t xml:space="preserve"> provisions of Section 5(a)(vi) will apply to Party A, and will apply to Party B. </w:t>
      </w:r>
      <w:r>
        <w:rPr>
          <w:rFonts w:cs="Times New Roman" w:ascii="Times New Roman" w:hAnsi="Times New Roman"/>
          <w:color w:val="FF0000"/>
          <w:sz w:val="22"/>
        </w:rPr>
        <w:t>[</w:t>
      </w:r>
      <w:r>
        <w:rPr>
          <w:rFonts w:cs="Times New Roman" w:ascii="Times New Roman" w:hAnsi="Times New Roman"/>
          <w:color w:val="000000"/>
          <w:sz w:val="22"/>
        </w:rPr>
        <w:t>However, the words”, or becoming capable at such time of being declared,” as they appear in Section 5(a)(vi) are hereby deleted.</w:t>
      </w:r>
      <w:r>
        <w:rPr>
          <w:rStyle w:val="FootnoteCharacters"/>
          <w:rStyle w:val="FootnoteReference"/>
          <w:rFonts w:cs="Times New Roman" w:ascii="Times New Roman" w:hAnsi="Times New Roman"/>
          <w:color w:val="000000"/>
        </w:rPr>
        <w:footnoteReference w:id="3"/>
      </w:r>
      <w:r>
        <w:rPr>
          <w:rFonts w:cs="Times New Roman" w:ascii="Times New Roman" w:hAnsi="Times New Roman"/>
          <w:color w:val="FF0000"/>
          <w:sz w:val="22"/>
        </w:rPr>
        <w:t>]</w:t>
      </w:r>
    </w:p>
    <w:p>
      <w:pPr>
        <w:pStyle w:val="Normal"/>
        <w:spacing w:lineRule="exact" w:line="240" w:before="240" w:after="0"/>
        <w:ind w:start="360" w:end="0"/>
        <w:jc w:val="both"/>
        <w:rPr/>
      </w:pPr>
      <w:r>
        <w:rPr>
          <w:rFonts w:cs="Times New Roman" w:ascii="Times New Roman" w:hAnsi="Times New Roman"/>
          <w:b/>
          <w:sz w:val="22"/>
        </w:rPr>
        <w:t>“</w:t>
      </w:r>
      <w:r>
        <w:rPr>
          <w:rFonts w:cs="Times New Roman" w:ascii="Times New Roman" w:hAnsi="Times New Roman"/>
          <w:b/>
          <w:sz w:val="22"/>
        </w:rPr>
        <w:t>Threshold Amount”</w:t>
      </w:r>
      <w:r>
        <w:rPr>
          <w:rFonts w:cs="Times New Roman" w:ascii="Times New Roman" w:hAnsi="Times New Roman"/>
          <w:sz w:val="22"/>
        </w:rPr>
        <w:t xml:space="preserve"> means:  with respect to Party A, U.S. $____________ (or its equivalent in another currency); </w:t>
      </w:r>
      <w:r>
        <w:rPr>
          <w:rFonts w:cs="Times New Roman" w:ascii="Times New Roman" w:hAnsi="Times New Roman"/>
          <w:color w:val="FF0000"/>
          <w:sz w:val="22"/>
        </w:rPr>
        <w:t>[</w:t>
      </w:r>
      <w:r>
        <w:rPr>
          <w:rFonts w:cs="Times New Roman" w:ascii="Times New Roman" w:hAnsi="Times New Roman"/>
          <w:sz w:val="22"/>
        </w:rPr>
        <w:t>with respect to Party A’s Credit Support Provider, U.S. $____________ (or its equivalent in another currency)</w:t>
      </w:r>
      <w:r>
        <w:rPr>
          <w:rFonts w:cs="Times New Roman" w:ascii="Times New Roman" w:hAnsi="Times New Roman"/>
          <w:color w:val="FF0000"/>
          <w:sz w:val="22"/>
        </w:rPr>
        <w:t>][</w:t>
      </w:r>
      <w:r>
        <w:rPr>
          <w:rFonts w:cs="Times New Roman" w:ascii="Times New Roman" w:hAnsi="Times New Roman"/>
          <w:sz w:val="22"/>
        </w:rPr>
        <w:t>; and with respect to Party B, U.S. $____________ (or its equivalent in another currency)</w:t>
      </w:r>
      <w:r>
        <w:rPr>
          <w:rFonts w:cs="Times New Roman" w:ascii="Times New Roman" w:hAnsi="Times New Roman"/>
          <w:color w:val="FF0000"/>
          <w:sz w:val="22"/>
        </w:rPr>
        <w:t>][</w:t>
      </w:r>
      <w:r>
        <w:rPr>
          <w:rFonts w:cs="Times New Roman" w:ascii="Times New Roman" w:hAnsi="Times New Roman"/>
          <w:sz w:val="22"/>
        </w:rPr>
        <w:t>; and with respect to Party B’s Credit Support Provider, U.S. $__________ (or its equivalent in another currency)</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as amended below will  </w:t>
      </w:r>
      <w:r>
        <w:rPr>
          <w:rFonts w:cs="Times New Roman" w:ascii="Times New Roman" w:hAnsi="Times New Roman"/>
          <w:color w:val="FF0000"/>
          <w:sz w:val="22"/>
        </w:rPr>
        <w:t>[</w:t>
      </w:r>
      <w:r>
        <w:rPr>
          <w:rFonts w:cs="Times New Roman" w:ascii="Times New Roman" w:hAnsi="Times New Roman"/>
          <w:color w:val="000000"/>
          <w:sz w:val="22"/>
        </w:rPr>
        <w:t>will not</w:t>
      </w:r>
      <w:r>
        <w:rPr>
          <w:rFonts w:cs="Times New Roman" w:ascii="Times New Roman" w:hAnsi="Times New Roman"/>
          <w:color w:val="FF0000"/>
          <w:sz w:val="22"/>
        </w:rPr>
        <w:t xml:space="preserve">] </w:t>
      </w:r>
      <w:r>
        <w:rPr>
          <w:rFonts w:cs="Times New Roman" w:ascii="Times New Roman" w:hAnsi="Times New Roman"/>
          <w:sz w:val="22"/>
        </w:rPr>
        <w:t>apply to Party A and to Party B.</w:t>
      </w:r>
    </w:p>
    <w:p>
      <w:pPr>
        <w:pStyle w:val="Normal"/>
        <w:spacing w:lineRule="exact" w:line="240" w:before="240" w:after="0"/>
        <w:ind w:firstLine="720" w:end="0"/>
        <w:jc w:val="both"/>
        <w:rPr/>
      </w:pP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not apply to Party A or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w:t>
      </w:r>
      <w:r>
        <w:rPr>
          <w:rFonts w:cs="Times New Roman" w:ascii="Times New Roman" w:hAnsi="Times New Roman"/>
          <w:color w:val="FF0000"/>
          <w:sz w:val="22"/>
        </w:rPr>
        <w:t>[</w:t>
      </w:r>
      <w:r>
        <w:rPr>
          <w:rFonts w:cs="Times New Roman" w:ascii="Times New Roman" w:hAnsi="Times New Roman"/>
          <w:color w:val="000000"/>
          <w:sz w:val="22"/>
        </w:rPr>
        <w:t xml:space="preserve">Market Quotation will apply; </w:t>
      </w:r>
      <w:r>
        <w:rPr>
          <w:rFonts w:cs="Times New Roman" w:ascii="Times New Roman" w:hAnsi="Times New Roman"/>
          <w:color w:val="000000"/>
          <w:sz w:val="22"/>
          <w:u w:val="single"/>
        </w:rPr>
        <w:t>provided</w:t>
      </w:r>
      <w:r>
        <w:rPr>
          <w:rFonts w:cs="Times New Roman" w:ascii="Times New Roman" w:hAnsi="Times New Roman"/>
          <w:color w:val="000000"/>
          <w:sz w:val="22"/>
        </w:rPr>
        <w:t xml:space="preserve">, </w:t>
      </w:r>
      <w:r>
        <w:rPr>
          <w:rFonts w:cs="Times New Roman" w:ascii="Times New Roman" w:hAnsi="Times New Roman"/>
          <w:color w:val="000000"/>
          <w:sz w:val="22"/>
          <w:u w:val="single"/>
        </w:rPr>
        <w:t>however</w:t>
      </w:r>
      <w:r>
        <w:rPr>
          <w:rFonts w:cs="Times New Roman" w:ascii="Times New Roman" w:hAnsi="Times New Roman"/>
          <w:color w:val="000000"/>
          <w:sz w:val="22"/>
        </w:rPr>
        <w:t xml:space="preserve">, that with respect to any Transaction that is a commodity swap, cross commodity swap, commodity cap, commodity floor, commodity collar, commodity option or any other similar transaction (including any optionwith respect to any of the foregoing or any combination of these transactions, </w:t>
      </w:r>
      <w:r>
        <w:rPr>
          <w:rFonts w:cs="Times New Roman" w:ascii="Times New Roman" w:hAnsi="Times New Roman"/>
          <w:sz w:val="22"/>
        </w:rPr>
        <w:t>Loss will apply</w:t>
      </w:r>
      <w:r>
        <w:rPr>
          <w:rFonts w:cs="Times New Roman" w:ascii="Times New Roman" w:hAnsi="Times New Roman"/>
          <w:color w:val="FF0000"/>
          <w:sz w:val="22"/>
        </w:rPr>
        <w:t>] [</w:t>
      </w:r>
      <w:r>
        <w:rPr>
          <w:rFonts w:cs="Times New Roman" w:ascii="Times New Roman" w:hAnsi="Times New Roman"/>
          <w:color w:val="000000"/>
          <w:sz w:val="22"/>
        </w:rPr>
        <w:t xml:space="preserve">Market Quotation will apply to any Transaction with a Termination Date two years or less from the Early Termination Date, </w:t>
      </w:r>
      <w:r>
        <w:rPr>
          <w:rFonts w:cs="Times New Roman" w:ascii="Times New Roman" w:hAnsi="Times New Roman"/>
          <w:sz w:val="22"/>
        </w:rPr>
        <w:t>Loss will apply to any other Transaction</w:t>
      </w:r>
      <w:r>
        <w:rPr>
          <w:rFonts w:cs="Times New Roman" w:ascii="Times New Roman" w:hAnsi="Times New Roman"/>
          <w:color w:val="FF0000"/>
          <w:sz w:val="22"/>
        </w:rPr>
        <w:t>] [</w:t>
      </w:r>
      <w:r>
        <w:rPr>
          <w:rFonts w:cs="Times New Roman" w:ascii="Times New Roman" w:hAnsi="Times New Roman"/>
          <w:sz w:val="22"/>
        </w:rPr>
        <w:t>Loss will apply,</w:t>
      </w:r>
      <w:r>
        <w:rPr>
          <w:rFonts w:cs="Times New Roman" w:ascii="Times New Roman" w:hAnsi="Times New Roman"/>
          <w:color w:val="FF0000"/>
          <w:sz w:val="22"/>
        </w:rPr>
        <w:t>]</w:t>
      </w:r>
      <w:r>
        <w:rPr>
          <w:rFonts w:cs="Times New Roman" w:ascii="Times New Roman" w:hAnsi="Times New Roman"/>
          <w:sz w:val="22"/>
        </w:rPr>
        <w:t xml:space="preserve"> and (ii) the Second Method will apply.</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“Termination Currency”</w:t>
      </w:r>
      <w:r>
        <w:rPr>
          <w:rFonts w:cs="Times New Roman" w:ascii="Times New Roman" w:hAnsi="Times New Roman"/>
          <w:sz w:val="22"/>
        </w:rPr>
        <w:t xml:space="preserve"> means United States Dollars.</w:t>
      </w:r>
    </w:p>
    <w:p>
      <w:pPr>
        <w:pStyle w:val="Normal"/>
        <w:spacing w:lineRule="exact" w:line="240" w:before="240" w:after="0"/>
        <w:ind w:firstLine="720" w:end="0"/>
        <w:jc w:val="both"/>
        <w:rPr/>
      </w:pPr>
      <w:r>
        <w:rPr>
          <w:rFonts w:cs="Times New Roman" w:ascii="Times New Roman" w:hAnsi="Times New Roman"/>
          <w:sz w:val="22"/>
        </w:rPr>
        <w:t>(g)</w:t>
        <w:tab/>
        <w:t>Section 5(b)(iv) is hereby amended by adding the following phrase between the closing parenthesis and the semicolon at the end thereof: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the foregoing action or event shall not constitute a Termination Event: (1) </w:t>
      </w:r>
      <w:r>
        <w:rPr>
          <w:rFonts w:cs="Times New Roman" w:ascii="Times New Roman" w:hAnsi="Times New Roman"/>
          <w:color w:val="FF0000"/>
          <w:sz w:val="22"/>
        </w:rPr>
        <w:t>[</w:t>
      </w:r>
      <w:r>
        <w:rPr>
          <w:rFonts w:cs="Times New Roman" w:ascii="Times New Roman" w:hAnsi="Times New Roman"/>
          <w:sz w:val="22"/>
        </w:rPr>
        <w:t>as to Party A</w:t>
      </w:r>
      <w:r>
        <w:rPr>
          <w:rStyle w:val="FootnoteCharacters"/>
          <w:rStyle w:val="FootnoteReference"/>
          <w:rFonts w:cs="Times New Roman" w:ascii="Times New Roman" w:hAnsi="Times New Roman"/>
        </w:rPr>
        <w:footnoteReference w:id="4"/>
      </w:r>
      <w:r>
        <w:rPr>
          <w:rFonts w:cs="Times New Roman" w:ascii="Times New Roman" w:hAnsi="Times New Roman"/>
          <w:color w:val="FF0000"/>
          <w:sz w:val="22"/>
        </w:rPr>
        <w:t>]</w:t>
      </w:r>
      <w:r>
        <w:rPr>
          <w:rFonts w:cs="Times New Roman" w:ascii="Times New Roman" w:hAnsi="Times New Roman"/>
          <w:sz w:val="22"/>
        </w:rPr>
        <w:t xml:space="preserve"> if after such action or event such resulting, surviving, or transferee entity (which entity is the successor-in-interest to </w:t>
      </w:r>
      <w:r>
        <w:rPr>
          <w:rFonts w:cs="Times New Roman" w:ascii="Times New Roman" w:hAnsi="Times New Roman"/>
          <w:color w:val="FF0000"/>
          <w:sz w:val="22"/>
        </w:rPr>
        <w:t>[</w:t>
      </w:r>
      <w:r>
        <w:rPr>
          <w:rFonts w:cs="Times New Roman" w:ascii="Times New Roman" w:hAnsi="Times New Roman"/>
          <w:sz w:val="22"/>
        </w:rPr>
        <w:t>such party</w:t>
      </w:r>
      <w:r>
        <w:rPr>
          <w:rFonts w:cs="Times New Roman" w:ascii="Times New Roman" w:hAnsi="Times New Roman"/>
          <w:color w:val="FF0000"/>
          <w:sz w:val="22"/>
        </w:rPr>
        <w:t>][</w:t>
      </w:r>
      <w:r>
        <w:rPr>
          <w:rFonts w:cs="Times New Roman" w:ascii="Times New Roman" w:hAnsi="Times New Roman"/>
          <w:sz w:val="22"/>
        </w:rPr>
        <w:t>as to Party A</w:t>
      </w:r>
      <w:r>
        <w:rPr>
          <w:rStyle w:val="FootnoteCharacters"/>
          <w:rStyle w:val="FootnoteReference"/>
          <w:rFonts w:cs="Times New Roman" w:ascii="Times New Roman" w:hAnsi="Times New Roman"/>
        </w:rPr>
        <w:footnoteReference w:id="5"/>
      </w:r>
      <w:r>
        <w:rPr>
          <w:rFonts w:cs="Times New Roman" w:ascii="Times New Roman" w:hAnsi="Times New Roman"/>
          <w:color w:val="FF0000"/>
          <w:sz w:val="22"/>
        </w:rPr>
        <w:t>]</w:t>
      </w:r>
      <w:r>
        <w:rPr>
          <w:rFonts w:cs="Times New Roman" w:ascii="Times New Roman" w:hAnsi="Times New Roman"/>
          <w:sz w:val="22"/>
        </w:rPr>
        <w:t xml:space="preserve">) is directly or indirectly owned or controlled by </w:t>
      </w:r>
      <w:r>
        <w:rPr>
          <w:rFonts w:cs="Times New Roman" w:ascii="Times New Roman" w:hAnsi="Times New Roman"/>
          <w:color w:val="FF0000"/>
          <w:sz w:val="22"/>
        </w:rPr>
        <w:t>[</w:t>
      </w:r>
      <w:r>
        <w:rPr>
          <w:rFonts w:cs="Times New Roman" w:ascii="Times New Roman" w:hAnsi="Times New Roman"/>
          <w:sz w:val="22"/>
        </w:rPr>
        <w:t>such party’s Credit Support Provider, if any,</w:t>
      </w:r>
      <w:r>
        <w:rPr>
          <w:rFonts w:cs="Times New Roman" w:ascii="Times New Roman" w:hAnsi="Times New Roman"/>
          <w:color w:val="FF0000"/>
          <w:sz w:val="22"/>
        </w:rPr>
        <w:t>][</w:t>
      </w:r>
      <w:r>
        <w:rPr>
          <w:rFonts w:cs="Times New Roman" w:ascii="Times New Roman" w:hAnsi="Times New Roman"/>
          <w:color w:val="000000"/>
          <w:sz w:val="22"/>
        </w:rPr>
        <w:t>Enron Corp.</w:t>
      </w:r>
      <w:r>
        <w:rPr>
          <w:rStyle w:val="FootnoteCharacters"/>
          <w:rStyle w:val="FootnoteReference"/>
          <w:rFonts w:cs="Times New Roman" w:ascii="Times New Roman" w:hAnsi="Times New Roman"/>
        </w:rPr>
        <w:footnoteReference w:id="6"/>
      </w:r>
      <w:r>
        <w:rPr>
          <w:rFonts w:cs="Times New Roman" w:ascii="Times New Roman" w:hAnsi="Times New Roman"/>
          <w:color w:val="FF0000"/>
          <w:sz w:val="22"/>
        </w:rPr>
        <w:t>]</w:t>
      </w:r>
      <w:r>
        <w:rPr>
          <w:rFonts w:cs="Times New Roman" w:ascii="Times New Roman" w:hAnsi="Times New Roman"/>
          <w:sz w:val="22"/>
        </w:rPr>
        <w:t xml:space="preserve"> and the Credit Support Documents supporting </w:t>
      </w:r>
      <w:r>
        <w:rPr>
          <w:rFonts w:cs="Times New Roman" w:ascii="Times New Roman" w:hAnsi="Times New Roman"/>
          <w:color w:val="FF0000"/>
          <w:sz w:val="22"/>
        </w:rPr>
        <w:t>[</w:t>
      </w:r>
      <w:r>
        <w:rPr>
          <w:rFonts w:cs="Times New Roman" w:ascii="Times New Roman" w:hAnsi="Times New Roman"/>
          <w:sz w:val="22"/>
        </w:rPr>
        <w:t>such party’s,</w:t>
      </w:r>
      <w:r>
        <w:rPr>
          <w:rFonts w:cs="Times New Roman" w:ascii="Times New Roman" w:hAnsi="Times New Roman"/>
          <w:color w:val="FF0000"/>
          <w:sz w:val="22"/>
        </w:rPr>
        <w:t>][</w:t>
      </w:r>
      <w:r>
        <w:rPr>
          <w:rFonts w:cs="Times New Roman" w:ascii="Times New Roman" w:hAnsi="Times New Roman"/>
          <w:color w:val="000000"/>
          <w:sz w:val="22"/>
        </w:rPr>
        <w:t>Party A’s</w:t>
      </w:r>
      <w:r>
        <w:rPr>
          <w:rStyle w:val="FootnoteCharacters"/>
          <w:rStyle w:val="FootnoteReference"/>
          <w:rFonts w:cs="Times New Roman" w:ascii="Times New Roman" w:hAnsi="Times New Roman"/>
        </w:rPr>
        <w:footnoteReference w:id="7"/>
      </w:r>
      <w:r>
        <w:rPr>
          <w:rFonts w:cs="Times New Roman" w:ascii="Times New Roman" w:hAnsi="Times New Roman"/>
          <w:color w:val="FF0000"/>
          <w:sz w:val="22"/>
        </w:rPr>
        <w:t>]</w:t>
      </w:r>
      <w:r>
        <w:rPr>
          <w:rFonts w:cs="Times New Roman" w:ascii="Times New Roman" w:hAnsi="Times New Roman"/>
          <w:sz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or Other Eligible Credit Support in an amount satisfactory to Y in its sole discretion.  If such Eligible Credit Support or Other Eligible Credit Support is provided, it shall be in addition to any Eligible Credit Support or Other Eligible Credit Support required under the ISDA Credit Support Annex attached hereto as </w:t>
      </w:r>
      <w:r>
        <w:rPr>
          <w:rFonts w:cs="Times New Roman" w:ascii="Times New Roman" w:hAnsi="Times New Roman"/>
          <w:sz w:val="22"/>
          <w:u w:val="single"/>
        </w:rPr>
        <w:t>Annex A</w:t>
      </w:r>
      <w:r>
        <w:rPr>
          <w:rFonts w:cs="Times New Roman" w:ascii="Times New Roman" w:hAnsi="Times New Roman"/>
          <w:sz w:val="22"/>
        </w:rPr>
        <w:t xml:space="preserve">, but it shall be otherwise administered under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color w:val="FF0000"/>
          <w:sz w:val="22"/>
        </w:rPr>
        <w:t>[</w:t>
      </w:r>
      <w:r>
        <w:rPr>
          <w:rFonts w:cs="Times New Roman" w:ascii="Times New Roman" w:hAnsi="Times New Roman"/>
          <w:sz w:val="22"/>
        </w:rPr>
        <w:t>(h)</w:t>
      </w:r>
      <w:r>
        <w:rPr>
          <w:rFonts w:cs="Times New Roman" w:ascii="Times New Roman" w:hAnsi="Times New Roman"/>
          <w:b/>
          <w:sz w:val="22"/>
        </w:rPr>
        <w:tab/>
        <w:t>Additional Event of Default.</w:t>
      </w:r>
      <w:r>
        <w:rPr>
          <w:rFonts w:cs="Times New Roman" w:ascii="Times New Roman" w:hAnsi="Times New Roman"/>
          <w:sz w:val="22"/>
        </w:rPr>
        <w:t xml:space="preserve">  The following will constitute an additional Event of Default for purposes of Section 5(a):</w:t>
      </w:r>
      <w:r>
        <w:rPr>
          <w:rFonts w:cs="Times New Roman" w:ascii="Times New Roman" w:hAnsi="Times New Roman"/>
          <w:color w:val="FF0000"/>
          <w:sz w:val="22"/>
        </w:rPr>
        <w:t>]</w:t>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2.  Tax Representations.</w:t>
      </w:r>
    </w:p>
    <w:p>
      <w:pPr>
        <w:pStyle w:val="Normal"/>
        <w:spacing w:lineRule="exact" w:line="240" w:before="240" w:after="0"/>
        <w:ind w:start="144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Insert Appropriate Tax Representations Module</w:t>
      </w:r>
      <w:r>
        <w:rPr>
          <w:rFonts w:cs="Times New Roman" w:ascii="Times New Roman" w:hAnsi="Times New Roman"/>
          <w:color w:val="FF0000"/>
          <w:sz w:val="22"/>
        </w:rPr>
        <w:t>]</w:t>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3.  Agreement to Deliver Documents.</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sz w:val="22"/>
        </w:rPr>
        <w:t>For the purpose of Section 4(a), each party agrees to deliver the following documents, as applicable: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(a)</w:t>
        <w:tab/>
        <w:t>Tax forms, documents, or certificates to be delivered are:  {Insert Appropriate Tax Forms Module}</w:t>
      </w:r>
      <w:r>
        <w:rPr>
          <w:rFonts w:cs="Times New Roman" w:ascii="Times New Roman" w:hAnsi="Times New Roman"/>
          <w:color w:val="FF0000"/>
          <w:sz w:val="22"/>
        </w:rPr>
        <w:t>]</w:t>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(b)</w:t>
      </w:r>
      <w:r>
        <w:rPr>
          <w:rFonts w:cs="Times New Roman" w:ascii="Times New Roman" w:hAnsi="Times New Roman"/>
          <w:color w:val="FF0000"/>
          <w:sz w:val="22"/>
        </w:rPr>
        <w:t>]</w:t>
      </w:r>
      <w:r>
        <w:rPr/>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Party required to deliver document</w:t>
            </w:r>
          </w:p>
        </w:tc>
        <w:tc>
          <w:tcPr>
            <w:tcW w:w="4104" w:type="dxa"/>
            <w:tcBorders/>
          </w:tcPr>
          <w:p>
            <w:pPr>
              <w:pStyle w:val="Normal"/>
              <w:spacing w:lineRule="atLeast" w:line="240" w:before="240" w:after="0"/>
              <w:rPr>
                <w:rFonts w:ascii="Times New Roman" w:hAnsi="Times New Roman" w:cs="Times New Roman"/>
                <w:sz w:val="22"/>
                <w:u w:val="single"/>
              </w:rPr>
            </w:pPr>
            <w:r>
              <w:rPr>
                <w:rFonts w:cs="Times New Roman" w:ascii="Times New Roman" w:hAnsi="Times New Roman"/>
                <w:b/>
                <w:sz w:val="22"/>
              </w:rPr>
              <w:t>Form/Document/Certificate</w:t>
            </w:r>
          </w:p>
        </w:tc>
        <w:tc>
          <w:tcPr>
            <w:tcW w:w="2340"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Date by which to be delivered</w:t>
            </w:r>
          </w:p>
        </w:tc>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Covered by Section 3(d) Representation</w:t>
              <w:br/>
            </w:r>
          </w:p>
        </w:tc>
      </w:tr>
      <w:tr>
        <w:trPr/>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color w:val="FF0000"/>
                <w:sz w:val="22"/>
              </w:rPr>
              <w:t>[</w:t>
            </w:r>
            <w:r>
              <w:rPr>
                <w:rFonts w:cs="Times New Roman" w:ascii="Times New Roman" w:hAnsi="Times New Roman"/>
                <w:sz w:val="22"/>
              </w:rPr>
              <w:t>Party A</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 Party B</w:t>
            </w:r>
            <w:r>
              <w:rPr>
                <w:rFonts w:cs="Times New Roman" w:ascii="Times New Roman" w:hAnsi="Times New Roman"/>
                <w:color w:val="FF0000"/>
                <w:sz w:val="22"/>
              </w:rPr>
              <w:t>]</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pPr>
            <w:r>
              <w:rPr>
                <w:rFonts w:cs="Times New Roman" w:ascii="Times New Roman" w:hAnsi="Times New Roman"/>
                <w:color w:val="FF0000"/>
                <w:sz w:val="22"/>
              </w:rPr>
              <w:t>[</w:t>
            </w: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 xml:space="preserve">A Certificate certifying (a) resolutions of each party’s and its Credit Support Provider’s (if any) board of directors </w:t>
            </w:r>
            <w:r>
              <w:rPr>
                <w:rFonts w:cs="Times New Roman" w:ascii="Times New Roman" w:hAnsi="Times New Roman"/>
                <w:color w:val="FF0000"/>
              </w:rPr>
              <w:t>[</w:t>
            </w:r>
            <w:r>
              <w:rPr>
                <w:rFonts w:cs="Times New Roman" w:ascii="Times New Roman" w:hAnsi="Times New Roman"/>
                <w:color w:val="000000"/>
              </w:rPr>
              <w:t>or other governing body</w:t>
            </w:r>
            <w:r>
              <w:rPr>
                <w:rFonts w:cs="Times New Roman" w:ascii="Times New Roman" w:hAnsi="Times New Roman"/>
                <w:color w:val="FF0000"/>
              </w:rPr>
              <w:t xml:space="preserve">] </w:t>
            </w:r>
            <w:r>
              <w:rPr>
                <w:rFonts w:cs="Times New Roman" w:ascii="Times New Roman" w:hAnsi="Times New Roman"/>
                <w:color w:val="000000"/>
              </w:rPr>
              <w:t xml:space="preserve">(i) authorising this Agreement and the Transactions contemplated hereby (or the Credit Support Document, as the case may be) and (ii) authorising a specified person or persons to execute and deliver on its behalf this Agreement (or the Credit Support Documents, as the case may be), </w:t>
            </w:r>
            <w:r>
              <w:rPr>
                <w:rFonts w:cs="Times New Roman" w:ascii="Times New Roman" w:hAnsi="Times New Roman"/>
                <w:color w:val="FF0000"/>
              </w:rPr>
              <w:t xml:space="preserve">  [</w:t>
            </w:r>
            <w:r>
              <w:rPr>
                <w:rFonts w:cs="Times New Roman" w:ascii="Times New Roman" w:hAnsi="Times New Roman"/>
                <w:color w:val="000000"/>
              </w:rPr>
              <w:t>and (b) copies of each party’s and its Credit Support Provider’s (if any) articles of incorporation and bylaws</w:t>
            </w:r>
            <w:r>
              <w:rPr>
                <w:rFonts w:cs="Times New Roman" w:ascii="Times New Roman" w:hAnsi="Times New Roman"/>
                <w:color w:val="FF0000"/>
              </w:rPr>
              <w:t>] [</w:t>
            </w:r>
            <w:r>
              <w:rPr>
                <w:rFonts w:cs="Times New Roman" w:ascii="Times New Roman" w:hAnsi="Times New Roman"/>
                <w:color w:val="000000"/>
              </w:rPr>
              <w:t>(or other constituent documents)</w:t>
            </w:r>
            <w:r>
              <w:rPr>
                <w:rFonts w:cs="Times New Roman" w:ascii="Times New Roman" w:hAnsi="Times New Roman"/>
                <w:color w:val="FF0000"/>
              </w:rPr>
              <w:t>]]</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r>
              <w:rPr>
                <w:rFonts w:cs="Times New Roman" w:ascii="Times New Roman" w:hAnsi="Times New Roman"/>
                <w:color w:val="FF0000"/>
                <w:sz w:val="22"/>
              </w:rPr>
              <w:t>]</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 xml:space="preserve">Annual Audited Consolidated Financial Statement of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A’s Credit Support Provider</w:t>
            </w:r>
            <w:r>
              <w:rPr>
                <w:rFonts w:cs="Times New Roman" w:ascii="Times New Roman" w:hAnsi="Times New Roman"/>
                <w:color w:val="FF0000"/>
                <w:sz w:val="22"/>
              </w:rPr>
              <w:t>]</w:t>
            </w:r>
            <w:r>
              <w:rPr>
                <w:rFonts w:cs="Times New Roman" w:ascii="Times New Roman" w:hAnsi="Times New Roman"/>
                <w:sz w:val="22"/>
              </w:rPr>
              <w:t xml:space="preserve"> certified by independent public accountants</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 xml:space="preserve">Quarterly Unaudited Consolidated Financial Statement of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A’s Credit Support Provider</w:t>
            </w:r>
            <w:r>
              <w:rPr>
                <w:rFonts w:cs="Times New Roman" w:ascii="Times New Roman" w:hAnsi="Times New Roman"/>
                <w:color w:val="FF0000"/>
                <w:sz w:val="22"/>
              </w:rPr>
              <w:t>]</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pPr>
            <w:r>
              <w:rPr>
                <w:rFonts w:cs="Times New Roman" w:ascii="Times New Roman" w:hAnsi="Times New Roman"/>
                <w:color w:val="FF0000"/>
                <w:sz w:val="22"/>
              </w:rPr>
              <w:t>[</w:t>
            </w: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Legal opinion in form and substance satisfactory to Party B and its counsel</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No</w:t>
            </w:r>
            <w:r>
              <w:rPr>
                <w:rFonts w:cs="Times New Roman" w:ascii="Times New Roman" w:hAnsi="Times New Roman"/>
                <w:color w:val="FF0000"/>
                <w:sz w:val="22"/>
              </w:rPr>
              <w:t>]</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pPr>
            <w:r>
              <w:rPr>
                <w:rFonts w:cs="Times New Roman" w:ascii="Times New Roman" w:hAnsi="Times New Roman"/>
                <w:sz w:val="22"/>
              </w:rPr>
              <w:t xml:space="preserve">Annual Audited Consolidated Financial Statement of </w:t>
            </w:r>
            <w:r>
              <w:rPr>
                <w:rFonts w:cs="Times New Roman" w:ascii="Times New Roman" w:hAnsi="Times New Roman"/>
                <w:color w:val="FF0000"/>
                <w:sz w:val="22"/>
              </w:rPr>
              <w:t>[</w:t>
            </w:r>
            <w:r>
              <w:rPr>
                <w:rFonts w:cs="Times New Roman" w:ascii="Times New Roman" w:hAnsi="Times New Roman"/>
                <w:sz w:val="22"/>
              </w:rPr>
              <w:t>Party B</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B’s Credit Support Provider</w:t>
            </w:r>
            <w:r>
              <w:rPr>
                <w:rFonts w:cs="Times New Roman" w:ascii="Times New Roman" w:hAnsi="Times New Roman"/>
                <w:color w:val="FF0000"/>
                <w:sz w:val="22"/>
              </w:rPr>
              <w:t>]</w:t>
            </w:r>
            <w:r>
              <w:rPr>
                <w:rFonts w:cs="Times New Roman" w:ascii="Times New Roman" w:hAnsi="Times New Roman"/>
                <w:sz w:val="22"/>
              </w:rPr>
              <w:t xml:space="preserve"> certified by independent public accountants</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 xml:space="preserve">Quarterly Unaudited Consolidated Financial Statement of </w:t>
            </w:r>
            <w:r>
              <w:rPr>
                <w:rFonts w:cs="Times New Roman" w:ascii="Times New Roman" w:hAnsi="Times New Roman"/>
                <w:color w:val="FF0000"/>
                <w:sz w:val="22"/>
              </w:rPr>
              <w:t>[</w:t>
            </w:r>
            <w:r>
              <w:rPr>
                <w:rFonts w:cs="Times New Roman" w:ascii="Times New Roman" w:hAnsi="Times New Roman"/>
                <w:sz w:val="22"/>
              </w:rPr>
              <w:t>Party B</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B’s Credit Support Provider</w:t>
            </w:r>
            <w:r>
              <w:rPr>
                <w:rFonts w:cs="Times New Roman" w:ascii="Times New Roman" w:hAnsi="Times New Roman"/>
                <w:color w:val="FF0000"/>
                <w:sz w:val="22"/>
              </w:rPr>
              <w:t>]</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pPr>
            <w:r>
              <w:rPr>
                <w:rFonts w:cs="Times New Roman" w:ascii="Times New Roman" w:hAnsi="Times New Roman"/>
                <w:color w:val="FF0000"/>
                <w:sz w:val="22"/>
              </w:rPr>
              <w:t>[</w:t>
            </w: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Legal opinion in form and substance satisfactory to Party A and its counsel</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No</w:t>
            </w:r>
            <w:r>
              <w:rPr>
                <w:rFonts w:cs="Times New Roman" w:ascii="Times New Roman" w:hAnsi="Times New Roman"/>
                <w:color w:val="FF0000"/>
                <w:sz w:val="22"/>
              </w:rPr>
              <w:t>]</w:t>
            </w:r>
          </w:p>
        </w:tc>
      </w:tr>
    </w:tbl>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For the purpose of Section 12(a) of this Agreement:</w:t>
      </w:r>
    </w:p>
    <w:p>
      <w:pPr>
        <w:pStyle w:val="Norma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p>
      <w:pPr>
        <w:pStyle w:val="Norma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050"/>
        <w:gridCol w:w="3420"/>
      </w:tblGrid>
      <w:tr>
        <w:trPr/>
        <w:tc>
          <w:tcPr>
            <w:tcW w:w="2088" w:type="dxa"/>
            <w:tcBorders/>
          </w:tcPr>
          <w:p>
            <w:pPr>
              <w:pStyle w:val="Normal"/>
              <w:keepNext w:val="true"/>
              <w:tabs>
                <w:tab w:val="clear" w:pos="720"/>
                <w:tab w:val="left" w:pos="2880" w:leader="none"/>
                <w:tab w:val="left" w:pos="432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(for courier delivery)</w:t>
            </w:r>
          </w:p>
          <w:p>
            <w:pPr>
              <w:pStyle w:val="Normal"/>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050" w:type="dxa"/>
            <w:tcBorders/>
          </w:tcPr>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Capital &amp; Trade Resources International Corp.</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c/o Enron Europe Finance &amp; Trading Limited</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House, 40 Grosvenor Place</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London  SW1X 7EN</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420" w:type="dxa"/>
            <w:tcBorders/>
          </w:tcPr>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44 207 783 8917</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44 207 783 0000</w:t>
            </w:r>
          </w:p>
        </w:tc>
      </w:tr>
    </w:tbl>
    <w:p>
      <w:pPr>
        <w:pStyle w:val="Normal"/>
        <w:tabs>
          <w:tab w:val="clear" w:pos="720"/>
          <w:tab w:val="right" w:pos="9360" w:leader="dot"/>
        </w:tabs>
        <w:spacing w:lineRule="exact" w:line="240" w:before="240" w:after="0"/>
        <w:jc w:val="both"/>
        <w:rPr/>
      </w:pPr>
      <w:r>
        <w:rPr>
          <w:rFonts w:cs="Times New Roman" w:ascii="Times New Roman" w:hAnsi="Times New Roman"/>
          <w:sz w:val="22"/>
        </w:rPr>
        <w:t xml:space="preserve">A copy of any notice sent to Party A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(i) Enron North America Corp., Attention:  Corporate Secretary at P.O. Box 4428, Houston, Texas  77210-4428 (Street address: 1400 Smith Street, Houston, Texas  77002) and facsimile no. (713) 853-2534, and (ii) Enron North America Corp., Attention:  Assistant General Counsel, Trading Group at the above address and facsimile no. (713) 646-4818.</w:t>
      </w:r>
    </w:p>
    <w:p>
      <w:pPr>
        <w:pStyle w:val="Justified"/>
        <w:tabs>
          <w:tab w:val="clear" w:pos="720"/>
          <w:tab w:val="right" w:pos="9360" w:leader="dot"/>
        </w:tabs>
        <w:spacing w:lineRule="exact" w:line="240" w:before="0" w:after="0"/>
        <w:rPr>
          <w:rFonts w:ascii="Times New Roman" w:hAnsi="Times New Roman" w:cs="Times New Roman"/>
          <w:sz w:val="22"/>
        </w:rPr>
      </w:pPr>
      <w:r>
        <w:rPr>
          <w:rFonts w:cs="Times New Roman" w:ascii="Times New Roman" w:hAnsi="Times New Roman"/>
          <w:sz w:val="22"/>
        </w:rPr>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3960"/>
        <w:gridCol w:w="342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396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____________________________</w:t>
            </w:r>
          </w:p>
        </w:tc>
        <w:tc>
          <w:tcPr>
            <w:tcW w:w="342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Facsimile No.:  </w:t>
            </w:r>
            <w:r>
              <w:rPr>
                <w:rFonts w:cs="Times New Roman" w:ascii="Times New Roman" w:hAnsi="Times New Roman"/>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Telephone No.:  </w:t>
            </w:r>
            <w:r>
              <w:rPr>
                <w:rFonts w:cs="Times New Roman" w:ascii="Times New Roman" w:hAnsi="Times New Roman"/>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w:t>
      </w:r>
      <w:r>
        <w:rPr>
          <w:rFonts w:cs="Times New Roman" w:ascii="Times New Roman" w:hAnsi="Times New Roman"/>
          <w:color w:val="FF0000"/>
          <w:sz w:val="22"/>
        </w:rPr>
        <w:t>[</w:t>
      </w:r>
      <w:r>
        <w:rPr>
          <w:rFonts w:cs="Times New Roman" w:ascii="Times New Roman" w:hAnsi="Times New Roman"/>
          <w:sz w:val="22"/>
        </w:rPr>
        <w:t>not</w:t>
      </w:r>
      <w:r>
        <w:rPr>
          <w:rFonts w:cs="Times New Roman" w:ascii="Times New Roman" w:hAnsi="Times New Roman"/>
          <w:color w:val="FF0000"/>
          <w:sz w:val="22"/>
        </w:rPr>
        <w:t>]</w:t>
      </w:r>
      <w:r>
        <w:rPr>
          <w:rFonts w:cs="Times New Roman" w:ascii="Times New Roman" w:hAnsi="Times New Roman"/>
          <w:sz w:val="22"/>
        </w:rPr>
        <w:t xml:space="preserve"> a Multibranch Party </w:t>
      </w:r>
      <w:r>
        <w:rPr>
          <w:rFonts w:cs="Times New Roman" w:ascii="Times New Roman" w:hAnsi="Times New Roman"/>
          <w:color w:val="FF0000"/>
          <w:sz w:val="22"/>
        </w:rPr>
        <w:t>[</w:t>
      </w:r>
      <w:r>
        <w:rPr>
          <w:rFonts w:cs="Times New Roman" w:ascii="Times New Roman" w:hAnsi="Times New Roman"/>
          <w:sz w:val="22"/>
        </w:rPr>
        <w:t xml:space="preserve">and may act through the Offices specified in </w:t>
      </w:r>
      <w:r>
        <w:rPr>
          <w:rFonts w:cs="Times New Roman" w:ascii="Times New Roman" w:hAnsi="Times New Roman"/>
          <w:sz w:val="22"/>
          <w:u w:val="single"/>
        </w:rPr>
        <w:t>Annex B</w:t>
      </w:r>
      <w:r>
        <w:rPr>
          <w:rFonts w:cs="Times New Roman" w:ascii="Times New Roman" w:hAnsi="Times New Roman"/>
          <w:sz w:val="22"/>
        </w:rPr>
        <w:t xml:space="preserve"> hereto</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is Party A.</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rFonts w:cs="Times New Roman" w:ascii="Times New Roman" w:hAnsi="Times New Roman"/>
          <w:color w:val="FF0000"/>
          <w:sz w:val="22"/>
        </w:rPr>
        <w:t>[</w:t>
      </w:r>
      <w:r>
        <w:rPr>
          <w:rFonts w:cs="Times New Roman" w:ascii="Times New Roman" w:hAnsi="Times New Roman"/>
          <w:sz w:val="22"/>
        </w:rPr>
        <w:t xml:space="preserve">(i) Guaranty dated as of the date hereof by Enron Corp. in favour of Party B as beneficiary thereof in the form attached hereto as </w:t>
      </w:r>
      <w:r>
        <w:rPr>
          <w:rFonts w:cs="Times New Roman" w:ascii="Times New Roman" w:hAnsi="Times New Roman"/>
          <w:sz w:val="22"/>
          <w:u w:val="single"/>
        </w:rPr>
        <w:t>Exhibit A</w:t>
      </w:r>
      <w:r>
        <w:rPr>
          <w:rFonts w:cs="Times New Roman" w:ascii="Times New Roman" w:hAnsi="Times New Roman"/>
          <w:sz w:val="22"/>
        </w:rPr>
        <w: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 xml:space="preserve">(ii) Guaranty dated as of the date hereof by ____________________ in favour of Party A as beneficiary thereof in the form attached hereto as </w:t>
      </w:r>
      <w:r>
        <w:rPr>
          <w:rFonts w:cs="Times New Roman" w:ascii="Times New Roman" w:hAnsi="Times New Roman"/>
          <w:sz w:val="22"/>
          <w:u w:val="single"/>
        </w:rPr>
        <w:t xml:space="preserve">Exhibit </w:t>
      </w:r>
      <w:r>
        <w:rPr>
          <w:rFonts w:cs="Times New Roman" w:ascii="Times New Roman" w:hAnsi="Times New Roman"/>
          <w:color w:val="FF0000"/>
          <w:sz w:val="22"/>
          <w:u w:val="single"/>
        </w:rPr>
        <w:t>[</w:t>
      </w:r>
      <w:r>
        <w:rPr>
          <w:rFonts w:cs="Times New Roman" w:ascii="Times New Roman" w:hAnsi="Times New Roman"/>
          <w:sz w:val="22"/>
          <w:u w:val="single"/>
        </w:rPr>
        <w:t>A</w:t>
      </w:r>
      <w:r>
        <w:rPr>
          <w:rFonts w:cs="Times New Roman" w:ascii="Times New Roman" w:hAnsi="Times New Roman"/>
          <w:color w:val="FF0000"/>
          <w:sz w:val="22"/>
          <w:u w:val="single"/>
        </w:rPr>
        <w:t>][</w:t>
      </w:r>
      <w:r>
        <w:rPr>
          <w:rFonts w:cs="Times New Roman" w:ascii="Times New Roman" w:hAnsi="Times New Roman"/>
          <w:sz w:val="22"/>
          <w:u w:val="single"/>
        </w:rPr>
        <w:t>B</w:t>
      </w:r>
      <w:r>
        <w:rPr>
          <w:rFonts w:cs="Times New Roman" w:ascii="Times New Roman" w:hAnsi="Times New Roman"/>
          <w:color w:val="FF0000"/>
          <w:sz w:val="22"/>
          <w:u w:val="single"/>
        </w:rPr>
        <w:t>]</w:t>
      </w:r>
      <w:r>
        <w:rPr>
          <w:rFonts w:cs="Times New Roman" w:ascii="Times New Roman" w:hAnsi="Times New Roman"/>
          <w:sz w:val="22"/>
        </w:rPr>
        <w: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 xml:space="preserve">and (iii) </w:t>
      </w:r>
      <w:r>
        <w:rPr>
          <w:rFonts w:cs="Times New Roman" w:ascii="Times New Roman" w:hAnsi="Times New Roman"/>
          <w:color w:val="FF0000"/>
          <w:sz w:val="22"/>
        </w:rPr>
        <w:t>[</w:t>
      </w:r>
      <w:r>
        <w:rPr>
          <w:rFonts w:cs="Times New Roman" w:ascii="Times New Roman" w:hAnsi="Times New Roman"/>
          <w:sz w:val="22"/>
        </w:rPr>
        <w:t>Collateral and Exposure Provisions</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ISDA Credit Support Annex</w:t>
      </w:r>
      <w:r>
        <w:rPr>
          <w:rFonts w:cs="Times New Roman" w:ascii="Times New Roman" w:hAnsi="Times New Roman"/>
          <w:color w:val="FF0000"/>
          <w:sz w:val="22"/>
        </w:rPr>
        <w:t>]</w:t>
      </w:r>
      <w:r>
        <w:rPr>
          <w:rFonts w:cs="Times New Roman" w:ascii="Times New Roman" w:hAnsi="Times New Roman"/>
          <w:sz w:val="22"/>
        </w:rPr>
        <w:t xml:space="preserve"> attached hereto as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w:t>
      </w:r>
      <w:r>
        <w:rPr>
          <w:rFonts w:cs="Times New Roman" w:ascii="Times New Roman" w:hAnsi="Times New Roman"/>
          <w:color w:val="FF0000"/>
          <w:sz w:val="22"/>
        </w:rPr>
        <w:t>[</w:t>
      </w:r>
      <w:r>
        <w:rPr>
          <w:rFonts w:cs="Times New Roman" w:ascii="Times New Roman" w:hAnsi="Times New Roman"/>
          <w:sz w:val="22"/>
        </w:rPr>
        <w:t>none,</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and (ii) Credit Support Provider means in relation to Party B, </w:t>
      </w:r>
      <w:r>
        <w:rPr>
          <w:rFonts w:cs="Times New Roman" w:ascii="Times New Roman" w:hAnsi="Times New Roman"/>
          <w:color w:val="FF0000"/>
          <w:sz w:val="22"/>
        </w:rPr>
        <w:t>[</w:t>
      </w:r>
      <w:r>
        <w:rPr>
          <w:rFonts w:cs="Times New Roman" w:ascii="Times New Roman" w:hAnsi="Times New Roman"/>
          <w:sz w:val="22"/>
        </w:rPr>
        <w:t>none</w:t>
      </w:r>
      <w:r>
        <w:rPr>
          <w:rFonts w:cs="Times New Roman" w:ascii="Times New Roman" w:hAnsi="Times New Roman"/>
          <w:color w:val="FF0000"/>
          <w:sz w:val="22"/>
        </w:rPr>
        <w:t>][</w:t>
      </w:r>
      <w:r>
        <w:rPr>
          <w:rFonts w:cs="Times New Roman" w:ascii="Times New Roman" w:hAnsi="Times New Roman"/>
          <w:sz w:val="22"/>
        </w:rPr>
        <w:t>_______</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Subparagraph (ii) of Section 2(c) will not apply to all Transactions.</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color w:val="FF0000"/>
          <w:sz w:val="22"/>
        </w:rPr>
        <w:t>[</w:t>
      </w:r>
      <w:r>
        <w:rPr>
          <w:rFonts w:cs="Times New Roman" w:ascii="Times New Roman" w:hAnsi="Times New Roman"/>
          <w:sz w:val="22"/>
        </w:rPr>
        <w:t>(g)</w:t>
        <w:tab/>
      </w:r>
      <w:r>
        <w:rPr>
          <w:rFonts w:cs="Times New Roman" w:ascii="Times New Roman" w:hAnsi="Times New Roman"/>
          <w:b/>
          <w:sz w:val="22"/>
        </w:rPr>
        <w:t>Governing Law.  This Agreement and each Confirmation will be governed by, and construed, interpreted, and enforced in accordance with, the laws of England and Wales.</w:t>
      </w:r>
      <w:r>
        <w:rPr>
          <w:rFonts w:cs="Times New Roman" w:ascii="Times New Roman" w:hAnsi="Times New Roman"/>
          <w:color w:val="FF0000"/>
          <w:sz w:val="22"/>
        </w:rPr>
        <w:t>]</w:t>
      </w:r>
      <w:r>
        <w:rPr>
          <w:rStyle w:val="FootnoteCharacters"/>
          <w:rFonts w:cs="Times New Roman" w:ascii="Times New Roman" w:hAnsi="Times New Roman"/>
          <w:color w:val="000000"/>
        </w:rPr>
        <w:t xml:space="preserve"> </w:t>
      </w:r>
      <w:r>
        <w:rPr>
          <w:rStyle w:val="FootnoteCharacters"/>
          <w:rStyle w:val="FootnoteReference"/>
          <w:rFonts w:cs="Times New Roman" w:ascii="Times New Roman" w:hAnsi="Times New Roman"/>
          <w:color w:val="000000"/>
        </w:rPr>
        <w:footnoteReference w:id="8"/>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color w:val="FF0000"/>
          <w:sz w:val="22"/>
        </w:rPr>
        <w:t>[</w:t>
      </w:r>
      <w:r>
        <w:rPr>
          <w:rFonts w:cs="Times New Roman" w:ascii="Times New Roman" w:hAnsi="Times New Roman"/>
          <w:sz w:val="22"/>
        </w:rPr>
        <w:t>(g)</w:t>
      </w:r>
      <w:r>
        <w:rPr>
          <w:rFonts w:cs="Times New Roman" w:ascii="Times New Roman" w:hAnsi="Times New Roman"/>
          <w:b/>
          <w:sz w:val="22"/>
        </w:rPr>
        <w:t xml:space="preserve"> Governing Law. This Agreement and each Confirmation will be governed by, and construed, interpreted, and enforced in accordance with, the substantive law of the State of New York (without reference to its choice of law doctrine).</w:t>
      </w:r>
      <w:r>
        <w:rPr>
          <w:rFonts w:cs="Times New Roman" w:ascii="Times New Roman" w:hAnsi="Times New Roman"/>
          <w:color w:val="FF0000"/>
          <w:sz w:val="22"/>
        </w:rPr>
        <w:t>]</w:t>
      </w:r>
      <w:r>
        <w:rPr>
          <w:rFonts w:cs="Times New Roman" w:ascii="Times New Roman" w:hAnsi="Times New Roman"/>
          <w:color w:val="000000"/>
          <w:sz w:val="22"/>
        </w:rPr>
        <w:t xml:space="preserve"> </w:t>
      </w:r>
      <w:r>
        <w:rPr>
          <w:rStyle w:val="FootnoteCharacters"/>
          <w:rStyle w:val="FootnoteReference"/>
          <w:rFonts w:cs="Times New Roman" w:ascii="Times New Roman" w:hAnsi="Times New Roman"/>
          <w:color w:val="000000"/>
        </w:rPr>
        <w:footnoteReference w:id="9"/>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(h)</w:t>
        <w:tab/>
      </w:r>
      <w:r>
        <w:rPr>
          <w:rFonts w:cs="Times New Roman" w:ascii="Times New Roman" w:hAnsi="Times New Roman"/>
          <w:b/>
          <w:sz w:val="22"/>
        </w:rPr>
        <w:t>Jurisdiction.</w:t>
      </w:r>
      <w:r>
        <w:rPr>
          <w:rFonts w:cs="Times New Roman" w:ascii="Times New Roman" w:hAnsi="Times New Roman"/>
          <w:sz w:val="22"/>
        </w:rPr>
        <w:t xml:space="preserve">  Section 13(b) is hereby deleted in its entirety and replaced with the following:</w:t>
      </w:r>
    </w:p>
    <w:p>
      <w:pPr>
        <w:pStyle w:val="Normal"/>
        <w:tabs>
          <w:tab w:val="left" w:pos="720" w:leader="none"/>
        </w:tabs>
        <w:spacing w:lineRule="exact" w:line="240" w:before="240" w:after="0"/>
        <w:ind w:firstLine="720" w:start="720" w:end="0"/>
        <w:jc w:val="both"/>
        <w:rPr/>
      </w:pPr>
      <w:r>
        <w:rPr>
          <w:rFonts w:cs="Times New Roman" w:ascii="Times New Roman" w:hAnsi="Times New Roman"/>
          <w:color w:val="FF0000"/>
          <w:sz w:val="22"/>
        </w:rPr>
        <w:t>[</w:t>
      </w:r>
      <w:r>
        <w:rPr>
          <w:rFonts w:cs="Times New Roman" w:ascii="Times New Roman" w:hAnsi="Times New Roman"/>
          <w:sz w:val="22"/>
        </w:rPr>
        <w:t xml:space="preserve"> (b)</w:t>
        <w:tab/>
      </w:r>
      <w:r>
        <w:rPr>
          <w:rFonts w:cs="Times New Roman" w:ascii="Times New Roman" w:hAnsi="Times New Roman"/>
          <w:b/>
          <w:sz w:val="22"/>
        </w:rPr>
        <w:t xml:space="preserve">Jurisdiction. </w:t>
      </w:r>
      <w:r>
        <w:rPr>
          <w:rFonts w:cs="Times New Roman" w:ascii="Times New Roman" w:hAnsi="Times New Roman"/>
          <w:sz w:val="22"/>
        </w:rPr>
        <w:t xml:space="preserve"> </w:t>
      </w:r>
      <w:r>
        <w:rPr>
          <w:sz w:val="22"/>
        </w:rPr>
        <w:t>Each of the parties irrevocably submits to the jurisdiction of English courts over any suit, action or proceeding arising out of or relating to this Agreement (“Proceedings”).  Each of the parties hereto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r>
        <w:rPr>
          <w:rFonts w:cs="Times New Roman" w:ascii="Times New Roman" w:hAnsi="Times New Roman"/>
          <w:sz w:val="22"/>
        </w:rPr>
        <w:t>.</w:t>
      </w:r>
      <w:r>
        <w:rPr>
          <w:rFonts w:cs="Times New Roman" w:ascii="Times New Roman" w:hAnsi="Times New Roman"/>
          <w:color w:val="FF0000"/>
          <w:sz w:val="22"/>
        </w:rPr>
        <w:t>]</w:t>
      </w:r>
    </w:p>
    <w:p>
      <w:pPr>
        <w:pStyle w:val="Normal"/>
        <w:tabs>
          <w:tab w:val="left" w:pos="720" w:leader="none"/>
        </w:tabs>
        <w:spacing w:lineRule="exact" w:line="240" w:before="240" w:after="0"/>
        <w:ind w:firstLine="720" w:start="720" w:end="0"/>
        <w:jc w:val="both"/>
        <w:rPr/>
      </w:pPr>
      <w:r>
        <w:rPr>
          <w:rFonts w:cs="Times New Roman" w:ascii="Times New Roman" w:hAnsi="Times New Roman"/>
          <w:color w:val="000000"/>
          <w:sz w:val="22"/>
        </w:rPr>
        <w:t>[(b)</w:t>
        <w:tab/>
      </w:r>
      <w:r>
        <w:rPr>
          <w:rFonts w:cs="Times New Roman" w:ascii="Times New Roman" w:hAnsi="Times New Roman"/>
          <w:b/>
          <w:color w:val="000000"/>
          <w:sz w:val="22"/>
        </w:rPr>
        <w:t>Agreement to Arbitrate and Selection of Arbitrators:</w:t>
      </w:r>
      <w:r>
        <w:rPr>
          <w:rFonts w:cs="Times New Roman" w:ascii="Times New Roman" w:hAnsi="Times New Roman"/>
          <w:color w:val="000000"/>
          <w:sz w:val="22"/>
        </w:rPr>
        <w:tab/>
        <w:tab/>
        <w:t>All disputes arising in connection with the present contract shall be finally settled under the Rules of Arbitration of the International Chamber of Commerce (the “Rules”) by three arbitrators. Each party shall nomiate one arbitrator who together shall then agree on a third arbitrator within thirty days of their confirmation. The third arbitrator shall be a person who has over eight years professional experience in over-the-counter derivative products.</w:t>
      </w:r>
    </w:p>
    <w:p>
      <w:pPr>
        <w:pStyle w:val="Normal"/>
        <w:tabs>
          <w:tab w:val="left" w:pos="720" w:leader="none"/>
        </w:tabs>
        <w:spacing w:lineRule="exact" w:line="240" w:before="240" w:after="0"/>
        <w:ind w:firstLine="720" w:start="720" w:end="0"/>
        <w:jc w:val="both"/>
        <w:rPr/>
      </w:pPr>
      <w:r>
        <w:rPr>
          <w:rFonts w:cs="Times New Roman" w:ascii="Times New Roman" w:hAnsi="Times New Roman"/>
          <w:b/>
          <w:color w:val="000000"/>
          <w:sz w:val="22"/>
        </w:rPr>
        <w:t>Governing Law, And Authority Of The Arbitrators:</w:t>
        <w:tab/>
        <w:tab/>
      </w:r>
      <w:r>
        <w:rPr>
          <w:rFonts w:cs="Times New Roman" w:ascii="Times New Roman" w:hAnsi="Times New Roman"/>
          <w:color w:val="000000"/>
          <w:sz w:val="22"/>
        </w:rPr>
        <w:t xml:space="preserve">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the law any jurisdiction, or under the Rules, the parties hereby waiving their right, if any, to recover any such damages. </w:t>
      </w:r>
    </w:p>
    <w:p>
      <w:pPr>
        <w:pStyle w:val="Normal"/>
        <w:tabs>
          <w:tab w:val="left" w:pos="720" w:leader="none"/>
        </w:tabs>
        <w:spacing w:lineRule="exact" w:line="240" w:before="240" w:after="0"/>
        <w:ind w:firstLine="720" w:start="720" w:end="0"/>
        <w:jc w:val="both"/>
        <w:rPr/>
      </w:pPr>
      <w:r>
        <w:rPr>
          <w:rFonts w:cs="Times New Roman" w:ascii="Times New Roman" w:hAnsi="Times New Roman"/>
          <w:b/>
          <w:color w:val="000000"/>
          <w:sz w:val="22"/>
        </w:rPr>
        <w:t>Forum and Language For The Arbitration:</w:t>
        <w:tab/>
      </w:r>
      <w:r>
        <w:rPr>
          <w:rFonts w:cs="Times New Roman" w:ascii="Times New Roman" w:hAnsi="Times New Roman"/>
          <w:color w:val="000000"/>
          <w:sz w:val="22"/>
        </w:rPr>
        <w:t>The arbitration proceeding shall be conducted in New York, New York and the language of such proceedings shall be in English.</w:t>
      </w:r>
    </w:p>
    <w:p>
      <w:pPr>
        <w:pStyle w:val="Normal"/>
        <w:tabs>
          <w:tab w:val="left" w:pos="720" w:leader="none"/>
        </w:tabs>
        <w:spacing w:lineRule="exact" w:line="240" w:before="240" w:after="0"/>
        <w:ind w:firstLine="720" w:start="720" w:end="0"/>
        <w:jc w:val="both"/>
        <w:rPr/>
      </w:pPr>
      <w:r>
        <w:rPr>
          <w:rFonts w:cs="Times New Roman" w:ascii="Times New Roman" w:hAnsi="Times New Roman"/>
          <w:b/>
          <w:color w:val="000000"/>
          <w:sz w:val="22"/>
        </w:rPr>
        <w:t>Confidentiality:</w:t>
        <w:tab/>
      </w:r>
      <w:r>
        <w:rPr>
          <w:rFonts w:cs="Times New Roman" w:ascii="Times New Roman" w:hAnsi="Times New Roman"/>
          <w:color w:val="000000"/>
          <w:sz w:val="22"/>
        </w:rPr>
        <w:t xml:space="preserve">To the fullest extent permitted by law, any arbitration proceeding and the arbitrators award shall be maintained in confidence by the parties.] </w:t>
      </w:r>
    </w:p>
    <w:p>
      <w:pPr>
        <w:pStyle w:val="Normal"/>
        <w:tabs>
          <w:tab w:val="left" w:pos="720" w:leader="none"/>
        </w:tabs>
        <w:spacing w:lineRule="exact" w:line="240" w:before="240" w:after="0"/>
        <w:ind w:firstLine="720" w:start="720" w:end="0"/>
        <w:jc w:val="both"/>
        <w:rPr/>
      </w:pPr>
      <w:r>
        <w:rPr>
          <w:rFonts w:cs="Times New Roman" w:ascii="Times New Roman" w:hAnsi="Times New Roman"/>
          <w:color w:val="000000"/>
          <w:sz w:val="22"/>
        </w:rPr>
        <w:t>[(b)</w:t>
        <w:tab/>
      </w:r>
      <w:r>
        <w:rPr>
          <w:rFonts w:cs="Times New Roman" w:ascii="Times New Roman" w:hAnsi="Times New Roman"/>
          <w:b/>
          <w:color w:val="000000"/>
          <w:sz w:val="22"/>
        </w:rPr>
        <w:t>Jurisdiction:</w:t>
      </w:r>
      <w:r>
        <w:rPr>
          <w:rFonts w:cs="Times New Roman" w:ascii="Times New Roman" w:hAnsi="Times New Roman"/>
          <w:color w:val="000000"/>
          <w:sz w:val="22"/>
        </w:rPr>
        <w:tab/>
        <w:t>With respect to any suit, action, claim or procedding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pPr>
      <w:r>
        <w:rPr>
          <w:rFonts w:cs="Times New Roman" w:ascii="Times New Roman" w:hAnsi="Times New Roman"/>
          <w:color w:val="000000"/>
          <w:sz w:val="22"/>
        </w:rPr>
        <w:t>Nothing in this Agreement precludes either party from bringing Proceedings in any jurisdiction, nor will the bringing of Proceedings in any one or more jurisdictions preclude the bringing of Proceedings in any other jurisdiction</w:t>
      </w:r>
      <w:r>
        <w:rPr>
          <w:rFonts w:cs="Times New Roman" w:ascii="Times New Roman" w:hAnsi="Times New Roman"/>
          <w:color w:val="FF0000"/>
          <w:sz w:val="22"/>
        </w:rPr>
        <w:t>.]</w:t>
      </w:r>
    </w:p>
    <w:p>
      <w:pPr>
        <w:pStyle w:val="Normal"/>
        <w:tabs>
          <w:tab w:val="left" w:pos="720" w:leader="none"/>
        </w:tabs>
        <w:spacing w:lineRule="exact" w:line="240" w:before="240" w:after="0"/>
        <w:ind w:firstLine="720" w:start="720" w:end="0"/>
        <w:jc w:val="both"/>
        <w:rPr>
          <w:rFonts w:ascii="Times New Roman" w:hAnsi="Times New Roman" w:cs="Times New Roman"/>
          <w:color w:val="000000"/>
          <w:sz w:val="22"/>
        </w:rPr>
      </w:pPr>
      <w:r>
        <w:rPr>
          <w:rFonts w:cs="Times New Roman" w:ascii="Times New Roman" w:hAnsi="Times New Roman"/>
          <w:color w:val="FF0000"/>
          <w:sz w:val="22"/>
        </w:rPr>
        <w:t>[</w:t>
      </w:r>
      <w:r>
        <w:rPr>
          <w:rFonts w:cs="Times New Roman" w:ascii="Times New Roman" w:hAnsi="Times New Roman"/>
          <w:color w:val="000000"/>
          <w:sz w:val="22"/>
        </w:rPr>
        <w:t xml:space="preserve">(i) </w:t>
      </w:r>
      <w:r>
        <w:rPr>
          <w:rFonts w:cs="Times New Roman" w:ascii="Times New Roman" w:hAnsi="Times New Roman"/>
          <w:b/>
          <w:color w:val="000000"/>
          <w:sz w:val="22"/>
        </w:rPr>
        <w:t>Waiver of Jury Trial:</w:t>
      </w:r>
      <w:r>
        <w:rPr>
          <w:rFonts w:cs="Times New Roman" w:ascii="Times New Roman" w:hAnsi="Times New Roman"/>
          <w:color w:val="000000"/>
          <w:sz w:val="22"/>
        </w:rPr>
        <w:t xml:space="preserve"> Each party to this Agreement hereby irrevocably waives any and all right to trial by jury with respect to any legal proceeding arising out of or relating to this Agreement or any Transaction contemplated hereby.</w:t>
      </w:r>
      <w:r>
        <w:rPr>
          <w:rFonts w:cs="Times New Roman" w:ascii="Times New Roman" w:hAnsi="Times New Roman"/>
          <w:color w:val="FF0000"/>
          <w:sz w:val="22"/>
        </w:rPr>
        <w:t>]</w:t>
      </w:r>
      <w:r>
        <w:rPr>
          <w:rStyle w:val="FootnoteCharacters"/>
          <w:rStyle w:val="FootnoteReference"/>
          <w:rFonts w:cs="Times New Roman" w:ascii="Times New Roman" w:hAnsi="Times New Roman"/>
          <w:color w:val="000000"/>
        </w:rPr>
        <w:footnoteReference w:id="10"/>
      </w:r>
    </w:p>
    <w:p>
      <w:pPr>
        <w:pStyle w:val="Normal"/>
        <w:tabs>
          <w:tab w:val="left" w:pos="720" w:leader="none"/>
        </w:tabs>
        <w:spacing w:lineRule="exact" w:line="240" w:before="240" w:after="0"/>
        <w:jc w:val="both"/>
        <w:rPr>
          <w:rFonts w:ascii="Times New Roman" w:hAnsi="Times New Roman" w:cs="Times New Roman"/>
          <w:color w:val="000000"/>
          <w:sz w:val="22"/>
        </w:rPr>
      </w:pPr>
      <w:r>
        <w:rPr>
          <w:rFonts w:cs="Times New Roman" w:ascii="Times New Roman" w:hAnsi="Times New Roman"/>
          <w:color w:val="000000"/>
          <w:sz w:val="22"/>
        </w:rPr>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(i)</w:t>
        <w:tab/>
      </w:r>
      <w:r>
        <w:rPr>
          <w:rFonts w:cs="Times New Roman" w:ascii="Times New Roman" w:hAnsi="Times New Roman"/>
          <w:b/>
          <w:sz w:val="22"/>
        </w:rPr>
        <w:t>Process Agent.</w:t>
      </w:r>
      <w:r>
        <w:rPr>
          <w:rFonts w:cs="Times New Roman" w:ascii="Times New Roman" w:hAnsi="Times New Roman"/>
          <w:sz w:val="22"/>
        </w:rPr>
        <w:t xml:space="preserve">  For the purpose of Section 13(c):  Party A appoints as its Process Agent, </w:t>
      </w:r>
      <w:r>
        <w:rPr>
          <w:rFonts w:cs="Times New Roman" w:ascii="Times New Roman" w:hAnsi="Times New Roman"/>
          <w:color w:val="FF0000"/>
          <w:sz w:val="22"/>
        </w:rPr>
        <w:t>[</w:t>
      </w:r>
      <w:r>
        <w:rPr>
          <w:rFonts w:cs="Times New Roman" w:ascii="Times New Roman" w:hAnsi="Times New Roman"/>
          <w:sz w:val="22"/>
        </w:rPr>
        <w:t>None</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Enron Europe Finance &amp; Trading Limited, 40 Grosvenor Place, London  SW1X 7EN</w:t>
      </w:r>
      <w:r>
        <w:rPr>
          <w:rFonts w:cs="Times New Roman" w:ascii="Times New Roman" w:hAnsi="Times New Roman"/>
          <w:color w:val="FF0000"/>
          <w:sz w:val="22"/>
        </w:rPr>
        <w:t>]</w:t>
      </w:r>
      <w:r>
        <w:rPr>
          <w:rFonts w:cs="Times New Roman" w:ascii="Times New Roman" w:hAnsi="Times New Roman"/>
          <w:sz w:val="22"/>
        </w:rPr>
        <w:t xml:space="preserve">; Party B appoints as its Process Agent, </w:t>
      </w:r>
      <w:r>
        <w:rPr>
          <w:rFonts w:cs="Times New Roman" w:ascii="Times New Roman" w:hAnsi="Times New Roman"/>
          <w:color w:val="FF0000"/>
          <w:sz w:val="22"/>
        </w:rPr>
        <w:t>[</w:t>
      </w:r>
      <w:r>
        <w:rPr>
          <w:rFonts w:cs="Times New Roman" w:ascii="Times New Roman" w:hAnsi="Times New Roman"/>
          <w:sz w:val="22"/>
        </w:rPr>
        <w:t>_____________</w:t>
      </w:r>
      <w:r>
        <w:rPr>
          <w:rFonts w:cs="Times New Roman" w:ascii="Times New Roman" w:hAnsi="Times New Roman"/>
          <w:color w:val="FF0000"/>
          <w:sz w:val="22"/>
        </w:rPr>
        <w:t>]</w:t>
      </w:r>
      <w:r>
        <w:rPr>
          <w:rFonts w:cs="Times New Roman" w:ascii="Times New Roman" w:hAnsi="Times New Roman"/>
          <w:sz w:val="22"/>
        </w:rPr>
        <w:t xml:space="preserve">, having an office in </w:t>
      </w:r>
      <w:r>
        <w:rPr>
          <w:rFonts w:cs="Times New Roman" w:ascii="Times New Roman" w:hAnsi="Times New Roman"/>
          <w:color w:val="FF0000"/>
          <w:sz w:val="22"/>
        </w:rPr>
        <w:t>[</w:t>
      </w:r>
      <w:r>
        <w:rPr>
          <w:rFonts w:cs="Times New Roman" w:ascii="Times New Roman" w:hAnsi="Times New Roman"/>
          <w:sz w:val="22"/>
        </w:rPr>
        <w:t>______________</w:t>
      </w:r>
      <w:r>
        <w:rPr>
          <w:rFonts w:cs="Times New Roman" w:ascii="Times New Roman" w:hAnsi="Times New Roman"/>
          <w:color w:val="FF0000"/>
          <w:sz w:val="22"/>
        </w:rPr>
        <w:t>]</w:t>
      </w:r>
      <w:r>
        <w:rPr>
          <w:rFonts w:cs="Times New Roman" w:ascii="Times New Roman" w:hAnsi="Times New Roman"/>
          <w:sz w:val="22"/>
        </w:rPr>
        <w:t xml:space="preserve"> on the date of this Agreement at </w:t>
      </w:r>
      <w:r>
        <w:rPr>
          <w:rFonts w:cs="Times New Roman" w:ascii="Times New Roman" w:hAnsi="Times New Roman"/>
          <w:color w:val="FF0000"/>
          <w:sz w:val="22"/>
        </w:rPr>
        <w:t>[</w:t>
      </w:r>
      <w:r>
        <w:rPr>
          <w:rFonts w:cs="Times New Roman" w:ascii="Times New Roman" w:hAnsi="Times New Roman"/>
          <w:sz w:val="22"/>
        </w:rPr>
        <w:t>______________</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5.  Other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Subparagraphs (g), (h), (i), and (j):</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rFonts w:cs="Times New Roman" w:ascii="Times New Roman" w:hAnsi="Times New Roman"/>
          <w:sz w:val="22"/>
        </w:rPr>
        <w:t>(h)</w:t>
        <w:tab/>
      </w:r>
      <w:r>
        <w:rPr>
          <w:rFonts w:cs="Times New Roman" w:ascii="Times New Roman" w:hAnsi="Times New Roman"/>
          <w:b/>
          <w:sz w:val="22"/>
        </w:rPr>
        <w:t>Eligible Swap Participant.</w:t>
      </w:r>
      <w:r>
        <w:rPr>
          <w:rFonts w:cs="Times New Roman" w:ascii="Times New Roman" w:hAnsi="Times New Roman"/>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rFonts w:cs="Times New Roman" w:ascii="Times New Roman" w:hAnsi="Times New Roman"/>
          <w:sz w:val="22"/>
        </w:rPr>
        <w:t>(i)</w:t>
      </w:r>
      <w:r>
        <w:rPr>
          <w:rFonts w:cs="Times New Roman" w:ascii="Times New Roman" w:hAnsi="Times New Roman"/>
          <w:b/>
          <w:sz w:val="22"/>
        </w:rPr>
        <w:tab/>
        <w:t>Standardisation and Creditworthiness.</w:t>
      </w:r>
      <w:r>
        <w:rPr>
          <w:rFonts w:cs="Times New Roman" w:ascii="Times New Roman" w:hAnsi="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rFonts w:cs="Times New Roman" w:ascii="Times New Roman" w:hAnsi="Times New Roman"/>
          <w:sz w:val="22"/>
        </w:rPr>
        <w:t>(j)</w:t>
        <w:tab/>
      </w:r>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(i) This Agreement, each Confirmation, and each Transaction are subject to the 1991 ISDA Definitions (as supplemented by the 1998 Supplement),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auditors, attorneys, or advisors 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r>
        <w:rPr>
          <w:rFonts w:cs="Times New Roman" w:ascii="Times New Roman" w:hAnsi="Times New Roman"/>
          <w:sz w:val="22"/>
        </w:rPr>
        <w:t>(j)</w:t>
        <w:tab/>
      </w:r>
      <w:r>
        <w:rPr>
          <w:rFonts w:cs="Times New Roman" w:ascii="Times New Roman" w:hAnsi="Times New Roman"/>
          <w:b/>
          <w:sz w:val="22"/>
        </w:rPr>
        <w:t>Transfer.</w:t>
      </w:r>
      <w:r>
        <w:rPr>
          <w:rFonts w:cs="Times New Roman" w:ascii="Times New Roman" w:hAnsi="Times New Roman"/>
          <w:sz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p>
    <w:p>
      <w:pPr>
        <w:pStyle w:val="Normal"/>
        <w:spacing w:lineRule="exact" w:line="240" w:before="240" w:after="0"/>
        <w:ind w:firstLine="720" w:end="0"/>
        <w:jc w:val="both"/>
        <w:rPr/>
      </w:pPr>
      <w:r>
        <w:rPr>
          <w:rFonts w:cs="Times New Roman" w:ascii="Times New Roman" w:hAnsi="Times New Roman"/>
          <w:sz w:val="22"/>
        </w:rPr>
        <w:t>(k)</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BodyText"/>
        <w:widowControl/>
        <w:numPr>
          <w:ilvl w:val="0"/>
          <w:numId w:val="2"/>
        </w:numPr>
        <w:spacing w:before="240" w:after="0"/>
        <w:jc w:val="both"/>
        <w:rPr/>
      </w:pPr>
      <w:r>
        <w:rPr>
          <w:b/>
        </w:rPr>
        <w:t>European Monetary Union.</w:t>
      </w:r>
      <w:r>
        <w:rPr/>
        <w:t xml:space="preserve">  The provisions of Section 6 and Annexes 1 to 5 (inclusive) of the EMU Protocol, published by ISDA on May 6, 1998, are hereby incorporated in this Agreement.</w:t>
      </w:r>
    </w:p>
    <w:p>
      <w:pPr>
        <w:pStyle w:val="BodyText"/>
        <w:widowControl/>
        <w:numPr>
          <w:ilvl w:val="0"/>
          <w:numId w:val="2"/>
        </w:numPr>
        <w:spacing w:before="240" w:after="0"/>
        <w:jc w:val="both"/>
        <w:rPr/>
      </w:pPr>
      <w:r>
        <w:rPr>
          <w:rFonts w:cs="Times New Roman" w:ascii="Times New Roman" w:hAnsi="Times New Roman"/>
          <w:b/>
          <w:color w:val="FF0000"/>
        </w:rPr>
        <w:t>[</w:t>
      </w:r>
      <w:r>
        <w:rPr>
          <w:rFonts w:cs="Times New Roman" w:ascii="Times New Roman" w:hAnsi="Times New Roman"/>
          <w:b/>
        </w:rPr>
        <w:t>Escrow.</w:t>
      </w:r>
      <w:r>
        <w:rPr>
          <w:rFonts w:cs="Times New Roman" w:ascii="Times New Roman" w:hAnsi="Times New Roman"/>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rFonts w:cs="Times New Roman" w:ascii="Times New Roman" w:hAnsi="Times New Roman"/>
          <w:color w:val="FF0000"/>
        </w:rPr>
        <w:t>]</w:t>
      </w:r>
    </w:p>
    <w:p>
      <w:pPr>
        <w:pStyle w:val="Normal"/>
        <w:spacing w:before="48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Normal"/>
        <w:tabs>
          <w:tab w:val="clear" w:pos="720"/>
          <w:tab w:val="left" w:pos="1350" w:leader="none"/>
        </w:tabs>
        <w:jc w:val="both"/>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 w:hAnsi="Times New Roman" w:cs="Times New Roman"/>
                <w:b/>
                <w:sz w:val="22"/>
              </w:rPr>
            </w:pPr>
            <w:r>
              <w:rPr>
                <w:rFonts w:cs="Times New Roman" w:ascii="Times New Roman" w:hAnsi="Times New Roman"/>
                <w:b/>
                <w:sz w:val="22"/>
              </w:rPr>
              <w:t>ENRON CAPITAL &amp; TRADE RESOURCES</w:t>
            </w:r>
          </w:p>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INTERNATIONAL CORP.</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By:</w:t>
              <w:tab/>
              <w:t>Enron Europe Finance &amp; Trading Limited</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Justified"/>
              <w:keepNext w:val="true"/>
              <w:spacing w:lineRule="exact" w:line="240" w:before="0" w:after="0"/>
              <w:rPr>
                <w:rFonts w:ascii="Times New Roman" w:hAnsi="Times New Roman" w:cs="Times New Roman"/>
                <w:sz w:val="22"/>
              </w:rPr>
            </w:pPr>
            <w:r>
              <w:rPr>
                <w:rFonts w:cs="Times New Roman" w:ascii="Times New Roman" w:hAnsi="Times New Roman"/>
                <w:sz w:val="22"/>
              </w:rPr>
            </w:r>
          </w:p>
          <w:p>
            <w:pPr>
              <w:pStyle w:val="Normal"/>
              <w:keepNext w:val="true"/>
              <w:spacing w:lineRule="auto" w:line="36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auto" w:line="36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tabs>
                <w:tab w:val="clear" w:pos="720"/>
                <w:tab w:val="left" w:pos="4320" w:leader="none"/>
              </w:tabs>
              <w:spacing w:lineRule="auto" w:line="36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spacing w:lineRule="auto" w:line="36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keepNext w:val="true"/>
              <w:spacing w:lineRule="exact" w:line="240"/>
              <w:jc w:val="both"/>
              <w:rPr>
                <w:rFonts w:ascii="Times New Roman" w:hAnsi="Times New Roman" w:cs="Times New Roman"/>
                <w:sz w:val="22"/>
              </w:rPr>
            </w:pPr>
            <w:r>
              <w:rPr>
                <w:rFonts w:cs="Times New Roman" w:ascii="Times New Roman" w:hAnsi="Times New Roman"/>
                <w:b/>
                <w:color w:val="FF0000"/>
                <w:sz w:val="22"/>
              </w:rPr>
              <w:t>[</w:t>
            </w:r>
            <w:r>
              <w:rPr>
                <w:rFonts w:cs="Times New Roman" w:ascii="Times New Roman" w:hAnsi="Times New Roman"/>
                <w:b/>
                <w:sz w:val="22"/>
              </w:rPr>
              <w:t>COUNTERPARTY</w:t>
            </w:r>
            <w:r>
              <w:rPr>
                <w:rFonts w:cs="Times New Roman" w:ascii="Times New Roman" w:hAnsi="Times New Roman"/>
                <w:b/>
                <w:color w:val="FF0000"/>
                <w:sz w:val="22"/>
              </w:rPr>
              <w:t>]</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auto" w:line="36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auto" w:line="36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spacing w:lineRule="auto" w:line="36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keepNext w:val="true"/>
              <w:spacing w:lineRule="auto" w:line="36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ANNEX A</w:t>
        <w:tab/>
        <w:t>ISDA CREDIT SUPPORT ANNEX, including Paragraph 11 thereto</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ANNEX B</w:t>
        <w:tab/>
        <w:t>LIST OF APPROVED OFFICES</w:t>
      </w:r>
      <w:r>
        <w:rPr>
          <w:rFonts w:cs="Times New Roman" w:ascii="Times New Roman" w:hAnsi="Times New Roman"/>
          <w:color w:val="FF0000"/>
          <w:sz w:val="22"/>
        </w:rPr>
        <w:t>]</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SCHEDULE 1</w:t>
        <w:tab/>
        <w:t>IRREVOCABLE STANDBY LETTER OF CREDIT</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EXHIBIT A</w:t>
        <w:tab/>
        <w:t>FORM OF GUARANTY (PARTY A)</w:t>
      </w:r>
    </w:p>
    <w:p>
      <w:pPr>
        <w:pStyle w:val="Normal"/>
        <w:tabs>
          <w:tab w:val="clear" w:pos="720"/>
          <w:tab w:val="left" w:pos="2700" w:leader="none"/>
        </w:tabs>
        <w:spacing w:lineRule="exact" w:line="240"/>
        <w:ind w:hanging="3060" w:start="3060" w:end="0"/>
        <w:jc w:val="both"/>
        <w:rPr/>
      </w:pPr>
      <w:r>
        <w:rPr>
          <w:rFonts w:cs="Times New Roman" w:ascii="Times New Roman" w:hAnsi="Times New Roman"/>
          <w:sz w:val="22"/>
        </w:rPr>
        <w:t xml:space="preserve">EXHIBIT </w:t>
      </w:r>
      <w:r>
        <w:rPr>
          <w:rFonts w:cs="Times New Roman" w:ascii="Times New Roman" w:hAnsi="Times New Roman"/>
          <w:color w:val="FF0000"/>
          <w:sz w:val="22"/>
        </w:rPr>
        <w:t>[</w:t>
      </w:r>
      <w:r>
        <w:rPr>
          <w:rFonts w:cs="Times New Roman" w:ascii="Times New Roman" w:hAnsi="Times New Roman"/>
          <w:sz w:val="22"/>
        </w:rPr>
        <w:t>A</w:t>
      </w:r>
      <w:r>
        <w:rPr>
          <w:rFonts w:cs="Times New Roman" w:ascii="Times New Roman" w:hAnsi="Times New Roman"/>
          <w:color w:val="FF0000"/>
          <w:sz w:val="22"/>
        </w:rPr>
        <w:t>][</w:t>
      </w:r>
      <w:r>
        <w:rPr>
          <w:rFonts w:cs="Times New Roman" w:ascii="Times New Roman" w:hAnsi="Times New Roman"/>
          <w:sz w:val="22"/>
        </w:rPr>
        <w:t>B</w:t>
      </w:r>
      <w:r>
        <w:rPr>
          <w:rFonts w:cs="Times New Roman" w:ascii="Times New Roman" w:hAnsi="Times New Roman"/>
          <w:color w:val="FF0000"/>
          <w:sz w:val="22"/>
        </w:rPr>
        <w:t>]</w:t>
      </w:r>
      <w:r>
        <w:rPr>
          <w:rFonts w:cs="Times New Roman" w:ascii="Times New Roman" w:hAnsi="Times New Roman"/>
          <w:sz w:val="22"/>
        </w:rPr>
        <w:tab/>
        <w:t>FORM OF GUARANTY (PARTY B)</w:t>
      </w:r>
    </w:p>
    <w:sectPr>
      <w:headerReference w:type="default" r:id="rId2"/>
      <w:footerReference w:type="default" r:id="rId3"/>
      <w:footnotePr>
        <w:numFmt w:val="decimal"/>
      </w:footnotePr>
      <w:type w:val="nextPage"/>
      <w:pgSz w:w="11906" w:h="16838"/>
      <w:pgMar w:left="1440" w:right="1440" w:gutter="0" w:header="720" w:top="1276" w:footer="488" w:bottom="1440"/>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sz w:val="12"/>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/mnt/main-storage/datasets/enron-docs/doc/English_Schedule__Werra_13.11.00_.doc</w:t>
    </w:r>
    <w:r>
      <w:rPr>
        <w:sz w:val="12"/>
        <w:rFonts w:cs="Times New Roman" w:ascii="Times New Roman" w:hAnsi="Times New Roma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6"/>
        </w:rPr>
        <w:t xml:space="preserve"> </w:t>
      </w:r>
      <w:r>
        <w:rPr>
          <w:sz w:val="16"/>
        </w:rPr>
        <w:t>When there is an existing Master Swap Agreement between an Enron Affiliate and Counterparty or one of its Affiliates, consideration needs to be given as to whether to nominate such other entities as a Specified Entity.</w:t>
      </w:r>
    </w:p>
  </w:footnote>
  <w:footnote w:id="3">
    <w:p>
      <w:pPr>
        <w:pStyle w:val="FootnoteText"/>
        <w:rPr/>
      </w:pPr>
      <w:r>
        <w:rPr>
          <w:rStyle w:val="FootnoteCharacters"/>
        </w:rPr>
        <w:footnoteRef/>
      </w:r>
      <w:r>
        <w:rPr>
          <w:sz w:val="16"/>
        </w:rPr>
        <w:t xml:space="preserve"> </w:t>
      </w:r>
      <w:r>
        <w:rPr>
          <w:sz w:val="16"/>
        </w:rPr>
        <w:t>Insert this sentence if ECT International’s counterparty is a financial institution, particularly one that is a credit institution of Enron Corp.</w:t>
      </w:r>
    </w:p>
  </w:footnote>
  <w:footnote w:id="4">
    <w:p>
      <w:pPr>
        <w:pStyle w:val="FootnoteText"/>
        <w:rPr/>
      </w:pPr>
      <w:r>
        <w:rPr>
          <w:rStyle w:val="FootnoteCharacters"/>
        </w:rPr>
        <w:footnoteRef/>
      </w:r>
      <w:r>
        <w:rPr/>
        <w:t xml:space="preserve"> </w:t>
      </w:r>
      <w:r>
        <w:rPr>
          <w:sz w:val="16"/>
        </w:rPr>
        <w:t>Insert if there is no Enron Corp. guaranty.</w:t>
      </w:r>
    </w:p>
  </w:footnote>
  <w:footnote w:id="5">
    <w:p>
      <w:pPr>
        <w:pStyle w:val="FootnoteText"/>
        <w:rPr/>
      </w:pPr>
      <w:r>
        <w:rPr>
          <w:rStyle w:val="FootnoteCharacters"/>
        </w:rPr>
        <w:footnoteRef/>
      </w:r>
      <w:r>
        <w:rPr/>
        <w:t xml:space="preserve"> </w:t>
      </w:r>
      <w:r>
        <w:rPr>
          <w:sz w:val="16"/>
        </w:rPr>
        <w:t>Insert if there is no Enron Corp. guaranty.</w:t>
      </w:r>
    </w:p>
  </w:footnote>
  <w:footnote w:id="6">
    <w:p>
      <w:pPr>
        <w:pStyle w:val="FootnoteText"/>
        <w:rPr/>
      </w:pPr>
      <w:r>
        <w:rPr>
          <w:rStyle w:val="FootnoteCharacters"/>
        </w:rPr>
        <w:footnoteRef/>
      </w:r>
      <w:r>
        <w:rPr/>
        <w:t xml:space="preserve"> </w:t>
      </w:r>
      <w:r>
        <w:rPr>
          <w:sz w:val="16"/>
        </w:rPr>
        <w:t>Insert if there is no Enron Corp. guaranty.</w:t>
      </w:r>
    </w:p>
  </w:footnote>
  <w:footnote w:id="7">
    <w:p>
      <w:pPr>
        <w:pStyle w:val="FootnoteText"/>
        <w:rPr/>
      </w:pPr>
      <w:r>
        <w:rPr>
          <w:rStyle w:val="FootnoteCharacters"/>
        </w:rPr>
        <w:footnoteRef/>
      </w:r>
      <w:r>
        <w:rPr/>
        <w:t xml:space="preserve"> </w:t>
      </w:r>
      <w:r>
        <w:rPr>
          <w:sz w:val="16"/>
        </w:rPr>
        <w:t>Insert if there is no Enron Corp. guaranty.</w:t>
      </w:r>
    </w:p>
  </w:footnote>
  <w:footnote w:id="8">
    <w:p>
      <w:pPr>
        <w:pStyle w:val="FootnoteText"/>
        <w:rPr/>
      </w:pPr>
      <w:r>
        <w:rPr>
          <w:rStyle w:val="FootnoteCharacters"/>
        </w:rPr>
        <w:footnoteRef/>
      </w:r>
      <w:r>
        <w:rPr>
          <w:sz w:val="18"/>
        </w:rPr>
        <w:t xml:space="preserve"> </w:t>
      </w:r>
      <w:r>
        <w:rPr>
          <w:sz w:val="18"/>
        </w:rPr>
        <w:t>U.K. law is the first choice of law for all ECT International agreements, even if ECT International’s counterparty is located in the U.S.  If U.K. law is chosen, ISDA agreement provides for exclusive U.K. jurisdiction, so no need to add any jurisdiction or arbitration language.</w:t>
      </w:r>
    </w:p>
  </w:footnote>
  <w:footnote w:id="9">
    <w:p>
      <w:pPr>
        <w:pStyle w:val="FootnoteText"/>
        <w:rPr/>
      </w:pPr>
      <w:r>
        <w:rPr>
          <w:rStyle w:val="FootnoteCharacters"/>
        </w:rPr>
        <w:footnoteRef/>
      </w:r>
      <w:r>
        <w:rPr>
          <w:sz w:val="18"/>
        </w:rPr>
        <w:t xml:space="preserve"> </w:t>
      </w:r>
      <w:r>
        <w:rPr>
          <w:sz w:val="18"/>
        </w:rPr>
        <w:t xml:space="preserve">If NY law is chosen, use jurisdiction/arbitration in the following order of priority: (1) exclusive U.K. jurisdiction language, (2) international arbitration language, or (3) our standard jurisdiction language </w:t>
      </w:r>
      <w:r>
        <w:rPr>
          <w:sz w:val="18"/>
          <w:u w:val="single"/>
        </w:rPr>
        <w:t>plus</w:t>
      </w:r>
      <w:r>
        <w:rPr>
          <w:sz w:val="18"/>
        </w:rPr>
        <w:t xml:space="preserve"> insert Waiver of Jury Trial language below.  If the counterparty is located in NY, we never want exclusive NY jurisdiction or the arbitraition to be held in NY.</w:t>
      </w:r>
    </w:p>
  </w:footnote>
  <w:footnote w:id="10">
    <w:p>
      <w:pPr>
        <w:pStyle w:val="FootnoteText"/>
        <w:rPr/>
      </w:pPr>
      <w:r>
        <w:rPr>
          <w:rStyle w:val="FootnoteCharacters"/>
        </w:rPr>
        <w:footnoteRef/>
      </w:r>
      <w:r>
        <w:rPr/>
        <w:t xml:space="preserve"> </w:t>
      </w:r>
      <w:r>
        <w:rPr>
          <w:sz w:val="16"/>
        </w:rPr>
        <w:t>Insert this provision only when NY law and “Jurisdiction” choice #3 above is chosen.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lang w:val="en-GB"/>
      </w:rPr>
      <w:t>Draft:</w:t>
      <w:tab/>
      <w:t xml:space="preserve">- </w:t>
    </w:r>
    <w:r>
      <w:rPr>
        <w:b/>
        <w:lang w:val="en-GB"/>
      </w:rPr>
      <w:fldChar w:fldCharType="begin"/>
    </w:r>
    <w:r>
      <w:rPr>
        <w:b/>
        <w:lang w:val="en-GB"/>
      </w:rPr>
      <w:instrText xml:space="preserve"> PAGE </w:instrText>
    </w:r>
    <w:r>
      <w:rPr>
        <w:b/>
        <w:lang w:val="en-GB"/>
      </w:rPr>
      <w:fldChar w:fldCharType="separate"/>
    </w:r>
    <w:r>
      <w:rPr>
        <w:b/>
        <w:lang w:val="en-GB"/>
      </w:rPr>
      <w:t>28</w:t>
    </w:r>
    <w:r>
      <w:rPr>
        <w:b/>
        <w:lang w:val="en-GB"/>
      </w:rPr>
      <w:fldChar w:fldCharType="end"/>
    </w:r>
    <w:r>
      <w:rPr>
        <w:b/>
        <w:lang w:val="en-GB"/>
      </w:rPr>
      <w:t xml:space="preserve"> -ft: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1z0">
    <w:name w:val="WW8Num1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BodyTextIndent3">
    <w:name w:val="Body Text Indent 3"/>
    <w:basedOn w:val="Normal"/>
    <w:qFormat/>
    <w:pPr>
      <w:spacing w:lineRule="exact" w:line="240"/>
      <w:ind w:hanging="720" w:start="720" w:end="0"/>
      <w:jc w:val="both"/>
    </w:pPr>
    <w:rPr>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2000-11-13T08:39:00Z</dcterms:created>
  <dc:creator>ECooper</dc:creator>
  <dc:description/>
  <dc:language>en-CA</dc:language>
  <cp:lastModifiedBy>mdawson</cp:lastModifiedBy>
  <cp:lastPrinted>2000-05-12T15:32:00Z</cp:lastPrinted>
  <dcterms:modified xsi:type="dcterms:W3CDTF">2000-11-13T08:39:00Z</dcterms:modified>
  <cp:revision>2</cp:revision>
  <dc:subject/>
  <dc:title>SCHEDULE TO THE MASTER AGREEMENT</dc:title>
</cp:coreProperties>
</file>