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Use this in Schedule to Master Agreement:  Documents to be delivered as to Party B</w:t>
      </w:r>
    </w:p>
    <w:p>
      <w:pPr>
        <w:pStyle w:val="Normal"/>
        <w:jc w:val="both"/>
        <w:rPr/>
      </w:pPr>
      <w:r>
        <w:rPr/>
      </w:r>
    </w:p>
    <w:p>
      <w:pPr>
        <w:pStyle w:val="BodyText"/>
        <w:rPr/>
      </w:pPr>
      <w:r>
        <w:rPr/>
        <w:t>Within 60 days after the end of each fiscal quarter (other than fiscal year end) of Party B and 90 days after the end of each fiscal year of Party B, a copy of the quarterly and annual engineering reports, respectively, which reports evaluate the reserves, including, with particularity, the proved developed producing reserves, owned by Party B as of a date not earlier than 60 days prior to the date of such report, prepared by [______________ or such other] [an] independent third party engineering firm that is acceptable to Party A (the “Engineering Report”)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/mnt/main-storage/datasets/enron-docs/doc/Engineering_Report.doc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2000-07-28T10:34:00Z</dcterms:created>
  <dc:creator>mcook</dc:creator>
  <dc:description/>
  <dc:language>en-CA</dc:language>
  <cp:lastModifiedBy>mcook</cp:lastModifiedBy>
  <cp:lastPrinted>2000-07-28T11:14:00Z</cp:lastPrinted>
  <dcterms:modified xsi:type="dcterms:W3CDTF">2000-07-28T16:07:00Z</dcterms:modified>
  <cp:revision>3</cp:revision>
  <dc:subject/>
  <dc:title/>
</cp:coreProperties>
</file>