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DRAFT</w:t>
      </w:r>
    </w:p>
    <w:p>
      <w:pPr>
        <w:pStyle w:val="BodyText"/>
        <w:rPr/>
      </w:pPr>
      <w:r>
        <w:rPr/>
      </w:r>
    </w:p>
    <w:p>
      <w:pPr>
        <w:pStyle w:val="BodyText"/>
        <w:rPr/>
      </w:pPr>
      <w:r>
        <w:rPr/>
        <w:t>Engine MACT (Maximum Achievable Control Technology) Applicability to ETS Facilities</w:t>
      </w:r>
    </w:p>
    <w:p>
      <w:pPr>
        <w:pStyle w:val="Normal"/>
        <w:rPr/>
      </w:pPr>
      <w:r>
        <w:rPr/>
      </w:r>
    </w:p>
    <w:p>
      <w:pPr>
        <w:pStyle w:val="Heading1"/>
        <w:ind w:hanging="0" w:start="0"/>
        <w:rPr/>
      </w:pPr>
      <w:r>
        <w:rPr/>
        <w:t>Summary</w:t>
      </w:r>
    </w:p>
    <w:p>
      <w:pPr>
        <w:pStyle w:val="Normal"/>
        <w:rPr/>
      </w:pPr>
      <w:r>
        <w:rPr/>
      </w:r>
    </w:p>
    <w:p>
      <w:pPr>
        <w:pStyle w:val="Normal"/>
        <w:rPr/>
      </w:pPr>
      <w:r>
        <w:rPr/>
        <w:t xml:space="preserve">As INGAA currently believes the MACT regulations will be proposed, only Northern Natural Gas Company (NNG) has existing engines that will be affected.  Sixteen rich-burn engines will definitely need to be controlled (11 engines at Hugoton and 5 at Sprayberry).  An additional nine rich-burn engines that supply electricity are located at eight major sources (Sunray, Clifton, Palmyra, Spearman, Redfield, Waterloo, Mullinville and Bushton).  If these units are used for emergency power only, controls will probably not be required.  Seven NNG facilities may be major sources.  The potential to emit from these facilities must be evaluated carefully to determine major source status.  Twenty-three rich-burn engines are located at these facilities:  Morton Co. #1, Stevens Co. #1, Tate, Stevens Co. #2, Finney Co. #2, Texas Co. #2 and Stevens Co. #6.  (Five of these engines are already controlled.)  At this time, it is not clear whether horizontal engines will be considered rich-burn or lean-burn.  If it is determined that the horizontal engines are rich-burn engines, then an additional 47 engines will need to be controlled at Sunray, Holcomb, Mullinville, Oakland, Ogden and Ventura.   </w:t>
      </w:r>
    </w:p>
    <w:p>
      <w:pPr>
        <w:pStyle w:val="Normal"/>
        <w:rPr/>
      </w:pPr>
      <w:r>
        <w:rPr/>
      </w:r>
    </w:p>
    <w:p>
      <w:pPr>
        <w:pStyle w:val="Heading1"/>
        <w:ind w:hanging="0" w:start="0"/>
        <w:rPr/>
      </w:pPr>
      <w:r>
        <w:rPr/>
        <w:t>MACT Regulations</w:t>
      </w:r>
    </w:p>
    <w:p>
      <w:pPr>
        <w:pStyle w:val="Normal"/>
        <w:rPr/>
      </w:pPr>
      <w:r>
        <w:rPr/>
      </w:r>
    </w:p>
    <w:p>
      <w:pPr>
        <w:pStyle w:val="Normal"/>
        <w:rPr/>
      </w:pPr>
      <w:r>
        <w:rPr/>
        <w:t xml:space="preserve">MACT regulations cover emissions of the 179 hazardous air pollutants (HAPs).  These regulations are source specific.  Reciprocating internal combustion (IC) engines and combustion turbines emit several HAPs as a result of incomplete combustion; the HAP of most concern is formaldehyde.  The current thoughts on what the regulations will entail for IC engines and combustion turbines follow.  These regulations will apply to major sources.  Major sources are those facilities that emit over 10 tons/year of any one HAP or 25 tons/year of total HAPs.  In most cases, if a natural gas compressor station triggers the major source threshold, it will be for formaldehyde.  The Environmental Protection Agency will promulgate draft regulations in first quarter 2002.  </w:t>
      </w:r>
    </w:p>
    <w:p>
      <w:pPr>
        <w:pStyle w:val="Normal"/>
        <w:rPr/>
      </w:pPr>
      <w:r>
        <w:rPr/>
      </w:r>
    </w:p>
    <w:p>
      <w:pPr>
        <w:pStyle w:val="Normal"/>
        <w:rPr/>
      </w:pPr>
      <w:r>
        <w:rPr/>
        <w:t>Existing and new rich-burn IC engines greater than 500 horsepower at major sources will need to be controlled with NSCR (non selective catalytic reduction).  Initial testing for formaldehyde and on-going catalyst monitoring will be required.  Controls for existing engines must be in place three years after the rule becomes final.  Existing lean-burn IC engines and turbines will require no controls.  New lean-burn IC engines greater than 500 horsepower will need to be controlled with oxidation catalyst at major sources.  Quarterly monitoring for carbon monoxide, which is considered a surrogate for volatile organic compounds including formaldehyde, will be required.  New rich-burn and lean-burn IC engines greater than 5000 horsepower will have additional monitoring requirements.  Dry, low emission technology will be considered MACT for new turbines.</w:t>
      </w:r>
    </w:p>
    <w:p>
      <w:pPr>
        <w:pStyle w:val="Normal"/>
        <w:rPr/>
      </w:pPr>
      <w:r>
        <w:rPr/>
      </w:r>
    </w:p>
    <w:p>
      <w:pPr>
        <w:pStyle w:val="Normal"/>
        <w:rPr/>
      </w:pPr>
      <w:r>
        <w:rPr/>
        <w:t>The definition of rich-burn and lean-burn engines will be a significant issue as only existing rich-burn engines will require controls.  These definitions have not been finalized.  Rich-burn engines operate near the stoichiometric air-to-fuel ratio with exhaust excess oxygen levels less than 4 percent and typically closer to 1 percent.  NSCR technology will operate most efficiently at excess oxygen levels less than 1 percent.  Lean-burn engines may operate up to the lean flame extinction limit, with exhaust oxygen levels of 12 percent or greater.  Some lean-burn engines have been modified to reduce NOx emissions.  The definition of lean-burn engines as used by EPA for this regulation does not apply to only these low emissions (Clean Burn) engines.</w:t>
      </w:r>
    </w:p>
    <w:p>
      <w:pPr>
        <w:pStyle w:val="Normal"/>
        <w:rPr/>
      </w:pPr>
      <w:r>
        <w:rPr/>
      </w:r>
    </w:p>
    <w:p>
      <w:pPr>
        <w:pStyle w:val="Heading1"/>
        <w:ind w:hanging="0" w:start="0"/>
        <w:rPr/>
      </w:pPr>
      <w:r>
        <w:rPr/>
        <w:t>Transwestern Pipeline Company (Transwestern)</w:t>
      </w:r>
    </w:p>
    <w:p>
      <w:pPr>
        <w:pStyle w:val="Normal"/>
        <w:rPr/>
      </w:pPr>
      <w:r>
        <w:rPr/>
      </w:r>
    </w:p>
    <w:p>
      <w:pPr>
        <w:pStyle w:val="Normal"/>
        <w:rPr/>
      </w:pPr>
      <w:r>
        <w:rPr/>
        <w:t>Table 1 shows the Transwestern facilities that have rich-burn engines.  None of these facilities is a major source.  Table 2 shows the Transwestern facilities that are major sources.  There may be some rich-burn engines that are used to generate electricity at the compressor stations that were not in the engine databases used to generate Table 1.  If these engines are located at the major sources, they may have to be controlled if the generators are not emergency generators.</w:t>
      </w:r>
    </w:p>
    <w:p>
      <w:pPr>
        <w:pStyle w:val="Normal"/>
        <w:rPr/>
      </w:pPr>
      <w:r>
        <w:rPr/>
      </w:r>
    </w:p>
    <w:p>
      <w:pPr>
        <w:pStyle w:val="Heading1"/>
        <w:ind w:hanging="0" w:start="0"/>
        <w:rPr/>
      </w:pPr>
      <w:r>
        <w:rPr/>
        <w:t>Florida Gas Transmission (FGT)</w:t>
      </w:r>
    </w:p>
    <w:p>
      <w:pPr>
        <w:pStyle w:val="Normal"/>
        <w:rPr/>
      </w:pPr>
      <w:r>
        <w:rPr/>
      </w:r>
    </w:p>
    <w:p>
      <w:pPr>
        <w:pStyle w:val="Normal"/>
        <w:rPr/>
      </w:pPr>
      <w:r>
        <w:rPr/>
        <w:t>Table 3 shows the FGT facilities that have rich-burn engines.  None of these facilities is a major source.  Table 4 shows the FGT facilities that are major sources.  There may be some rich-burn engines that are used to generate electricity at the compressor station that were not in the engine databases used to generate Table 3.  If these engines are located at the major sources, they may have to be controlled if the generators are not emergency generators.</w:t>
      </w:r>
    </w:p>
    <w:p>
      <w:pPr>
        <w:pStyle w:val="Normal"/>
        <w:rPr/>
      </w:pPr>
      <w:r>
        <w:rPr/>
      </w:r>
    </w:p>
    <w:p>
      <w:pPr>
        <w:pStyle w:val="Heading1"/>
        <w:ind w:hanging="0" w:start="0"/>
        <w:rPr/>
      </w:pPr>
      <w:r>
        <w:rPr/>
        <w:t>Northern Border Pipeline Company</w:t>
      </w:r>
    </w:p>
    <w:p>
      <w:pPr>
        <w:pStyle w:val="Normal"/>
        <w:rPr/>
      </w:pPr>
      <w:r>
        <w:rPr/>
      </w:r>
    </w:p>
    <w:p>
      <w:pPr>
        <w:pStyle w:val="Normal"/>
        <w:rPr/>
      </w:pPr>
      <w:r>
        <w:rPr/>
        <w:t>Northern Border Pipeline Company does not have any major sources.</w:t>
      </w:r>
    </w:p>
    <w:p>
      <w:pPr>
        <w:pStyle w:val="Normal"/>
        <w:rPr/>
      </w:pPr>
      <w:r>
        <w:rPr/>
      </w:r>
    </w:p>
    <w:p>
      <w:pPr>
        <w:pStyle w:val="Heading1"/>
        <w:ind w:hanging="0" w:start="0"/>
        <w:rPr/>
      </w:pPr>
      <w:r>
        <w:rPr/>
        <w:t>Midwestern Gas Transmission Company (Midwestern)</w:t>
      </w:r>
    </w:p>
    <w:p>
      <w:pPr>
        <w:pStyle w:val="Normal"/>
        <w:rPr/>
      </w:pPr>
      <w:r>
        <w:rPr/>
      </w:r>
    </w:p>
    <w:p>
      <w:pPr>
        <w:pStyle w:val="Normal"/>
        <w:rPr/>
      </w:pPr>
      <w:r>
        <w:rPr/>
        <w:t>There are no rich-burn engines listed in the engine database for Midwestern.  There may be some rich burn engines that are used to generate electricity at the compressor station that were not in the database.  If these engines are located at major sources, they may have to be controlled if the generators are not emergency generators.  The major sources for Midwestern are Portland Station (#2101), Petersberg Station (#2110) and Potomac Station (#2118).</w:t>
      </w:r>
    </w:p>
    <w:p>
      <w:pPr>
        <w:pStyle w:val="Normal"/>
        <w:rPr/>
      </w:pPr>
      <w:r>
        <w:rPr/>
      </w:r>
    </w:p>
    <w:p>
      <w:pPr>
        <w:pStyle w:val="Normal"/>
        <w:rPr>
          <w:u w:val="single"/>
        </w:rPr>
      </w:pPr>
      <w:r>
        <w:rPr>
          <w:u w:val="single"/>
        </w:rPr>
        <w:t>Northern Natural Gas Company (NNG)</w:t>
      </w:r>
    </w:p>
    <w:p>
      <w:pPr>
        <w:pStyle w:val="Normal"/>
        <w:rPr>
          <w:u w:val="single"/>
        </w:rPr>
      </w:pPr>
      <w:r>
        <w:rPr>
          <w:u w:val="single"/>
        </w:rPr>
      </w:r>
    </w:p>
    <w:p>
      <w:pPr>
        <w:pStyle w:val="Normal"/>
        <w:rPr/>
      </w:pPr>
      <w:r>
        <w:rPr/>
        <w:t xml:space="preserve">Table 5 lists the NNG rich-burn engines greater than 500 horsepower that are located at facilities that are not major sources.  Table 6 lists the NNG rich-burn engines greater than 500 horsepower that are located at facilities that are major sources.  NNG has seventeen rich-burn engines that are located at major sources (11 engines at Hugoton, 5 at Sprayberry, and 1 at Holcomb).  The engine at Holcomb is already controlled.  An additional nine rich-burn engines that supply electricity are located at major sources (1 each at Sunray, Clifton, Palmyra, Spearman, Redfield, Waterloo and Mullinville and 2 at Bushton).  The unit at Mullinville is already controlled.  If these units are used for emergency power only, controls will probably not be required.  Table 7 lists the seven NNG facilities that may be major sources.  The horsepower and specific heat rates used to determine potential to emit should be carefully evaluated when calculating HAP emissions.  Twenty-three rich-burn engines are located at these facilities:  Morton Co. #1, Stevens Co. #1, Tate, Stevens Co. #2, Finney Co. #2, Texas Co. #2 and Stevens Co. #6.  Five of these engines are already controlled (one engine each at Finney Co. #2, Morton Co. #1, Stevens Co. #2, Stevens Co. #6 and Tate).  </w:t>
      </w:r>
    </w:p>
    <w:p>
      <w:pPr>
        <w:pStyle w:val="Normal"/>
        <w:rPr/>
      </w:pPr>
      <w:r>
        <w:rPr/>
      </w:r>
    </w:p>
    <w:p>
      <w:pPr>
        <w:pStyle w:val="Normal"/>
        <w:rPr/>
      </w:pPr>
      <w:r>
        <w:rPr/>
        <w:t xml:space="preserve">At this time, it is not clear whether four-stroke horizontal engines will be considered rich-burn or lean-burn engines.  During an emission test conducted at Mullinville in 1999, the oxygen content of the exhaust from a Cooper-Bessemer Type 26 horizontal compressor engine varied from 1.42% to 2.2%.  It is not clear how much the oxygen content of the exhaust can be adjusted before detonation problems occur.  The oxygen content of the exhaust needs to be below 1% for the NSCR technology to work effectively.  In addition, it is believed that NSCR technology has never been applied to horizontal engines.  An argument may be made that NSCR is not MACT for horizontal engines.  Nevertheless, if horizontal engines are regulated, then an additional 47 engines will need to be controlled (6 at Sunray, 8 at Holcomb, 13 at Mullinville, 9 at Oakland, 6 at Ogden and 5 at Ventura).  Refer to Table 8.  Two-stroke horizontal engines are located at Bushton (Units 23, 24 and 25), Beaver (Units 8 – 13) and Clifton (Units 27, 28, and 29).  By definition, any two-stroke engine is considered a lean-burn engine.   </w:t>
      </w:r>
    </w:p>
    <w:p>
      <w:pPr>
        <w:pStyle w:val="Normal"/>
        <w:rPr/>
      </w:pPr>
      <w:r>
        <w:rPr/>
        <w:t xml:space="preserve">  </w:t>
      </w:r>
    </w:p>
    <w:p>
      <w:pPr>
        <w:pStyle w:val="Normal"/>
        <w:rPr/>
      </w:pPr>
      <w:r>
        <w:rPr/>
      </w:r>
      <w:r>
        <w:br w:type="page"/>
      </w:r>
    </w:p>
    <w:p>
      <w:pPr>
        <w:pStyle w:val="Normal"/>
        <w:rPr/>
      </w:pPr>
      <w:r>
        <w:rPr/>
      </w:r>
    </w:p>
    <w:p>
      <w:pPr>
        <w:pStyle w:val="Normal"/>
        <w:jc w:val="center"/>
        <w:rPr/>
      </w:pPr>
      <w:r>
        <w:rPr/>
        <w:t>Table 1</w:t>
      </w:r>
    </w:p>
    <w:p>
      <w:pPr>
        <w:pStyle w:val="Normal"/>
        <w:jc w:val="center"/>
        <w:rPr/>
      </w:pPr>
      <w:r>
        <w:rPr/>
        <w:t>Transwestern Rich-Burn Engines Greater Than 500 Horsepower</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Location</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pPr>
            <w:r>
              <w:rPr/>
              <w:t>Number of Rich-Burn Engines &gt; 500 Horsepower</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Comments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Atoka #1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Unit 844 is already controlled.</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Atoka #2</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Units 758 and 843 are already controlled.</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Atoka #3</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Units 842, 845 and 822 are already controlled.</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Keystone</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Units 1 and 2</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Canadian River</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Units 769 and 770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Maljamar </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Unit 862 is already controlled.</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Walton</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Units E-1 and E-2</w:t>
            </w:r>
          </w:p>
        </w:tc>
      </w:tr>
    </w:tbl>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Table 2</w:t>
      </w:r>
    </w:p>
    <w:p>
      <w:pPr>
        <w:pStyle w:val="Normal"/>
        <w:jc w:val="center"/>
        <w:rPr/>
      </w:pPr>
      <w:r>
        <w:rPr/>
        <w:t>Transwestern Major HAP Sources</w:t>
      </w:r>
    </w:p>
    <w:p>
      <w:pPr>
        <w:pStyle w:val="Normal"/>
        <w:rPr/>
      </w:pPr>
      <w:r>
        <w:rPr/>
      </w:r>
    </w:p>
    <w:tbl>
      <w:tblPr>
        <w:tblW w:w="6786" w:type="dxa"/>
        <w:jc w:val="center"/>
        <w:tblInd w:w="0" w:type="dxa"/>
        <w:tblLayout w:type="fixed"/>
        <w:tblCellMar>
          <w:top w:w="0" w:type="dxa"/>
          <w:start w:w="108" w:type="dxa"/>
          <w:bottom w:w="0" w:type="dxa"/>
          <w:end w:w="108" w:type="dxa"/>
        </w:tblCellMar>
      </w:tblPr>
      <w:tblGrid>
        <w:gridCol w:w="2952"/>
        <w:gridCol w:w="3834"/>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Location</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Comments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CS-1 Seligman</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After LM2500 modification, this facility will not be a major source.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CS-2 Flagstaff</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After LM 2500 modification, this facility will not be a major source.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CS-3 Leupp</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After LM 2500 modification, this facility will not be a major source.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CS-4 Klagetoh</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After LM 2500 modification, this facility will not be a major source.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CS-5 Thoreau</w:t>
            </w:r>
          </w:p>
        </w:tc>
        <w:tc>
          <w:tcPr>
            <w:tcW w:w="38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CS-6 Laguna</w:t>
            </w:r>
          </w:p>
        </w:tc>
        <w:tc>
          <w:tcPr>
            <w:tcW w:w="38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CS-7 Mountainair</w:t>
            </w:r>
          </w:p>
        </w:tc>
        <w:tc>
          <w:tcPr>
            <w:tcW w:w="38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CS-8 Corona</w:t>
            </w:r>
          </w:p>
        </w:tc>
        <w:tc>
          <w:tcPr>
            <w:tcW w:w="38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CS-9 Roswell</w:t>
            </w:r>
          </w:p>
        </w:tc>
        <w:tc>
          <w:tcPr>
            <w:tcW w:w="38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WT-1</w:t>
            </w:r>
          </w:p>
        </w:tc>
        <w:tc>
          <w:tcPr>
            <w:tcW w:w="38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WT-2</w:t>
            </w:r>
          </w:p>
        </w:tc>
        <w:tc>
          <w:tcPr>
            <w:tcW w:w="38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r>
      <w:r>
        <w:br w:type="page"/>
      </w:r>
    </w:p>
    <w:p>
      <w:pPr>
        <w:pStyle w:val="Normal"/>
        <w:jc w:val="center"/>
        <w:rPr/>
      </w:pPr>
      <w:r>
        <w:rPr/>
      </w:r>
    </w:p>
    <w:p>
      <w:pPr>
        <w:pStyle w:val="Normal"/>
        <w:jc w:val="center"/>
        <w:rPr/>
      </w:pPr>
      <w:r>
        <w:rPr/>
      </w:r>
    </w:p>
    <w:p>
      <w:pPr>
        <w:pStyle w:val="Normal"/>
        <w:jc w:val="center"/>
        <w:rPr/>
      </w:pPr>
      <w:r>
        <w:rPr/>
        <w:t>Table 3</w:t>
      </w:r>
    </w:p>
    <w:p>
      <w:pPr>
        <w:pStyle w:val="Normal"/>
        <w:jc w:val="center"/>
        <w:rPr/>
      </w:pPr>
      <w:r>
        <w:rPr/>
        <w:t>FGT Rich-Burn Engines Greater Than 500 Horsepower</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Location</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pPr>
            <w:r>
              <w:rPr/>
              <w:t>Number of Rich-Burn Engines &gt; 500 Horsepower</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Comments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CS-3 Port Lavaca</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Units 301 and 302</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CS-377 Vinton</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Units 7701, 7702 and 7703 are already controlled.</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CS-40 Pine Grove</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Unit F40-1</w:t>
            </w:r>
          </w:p>
        </w:tc>
      </w:tr>
    </w:tbl>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Table 4</w:t>
      </w:r>
    </w:p>
    <w:p>
      <w:pPr>
        <w:pStyle w:val="Normal"/>
        <w:jc w:val="center"/>
        <w:rPr/>
      </w:pPr>
      <w:r>
        <w:rPr/>
        <w:t>FGT Major HAP Sources</w:t>
      </w:r>
    </w:p>
    <w:p>
      <w:pPr>
        <w:pStyle w:val="Normal"/>
        <w:rPr/>
      </w:pPr>
      <w:r>
        <w:rPr/>
      </w:r>
    </w:p>
    <w:tbl>
      <w:tblPr>
        <w:tblW w:w="2952" w:type="dxa"/>
        <w:jc w:val="center"/>
        <w:tblInd w:w="0" w:type="dxa"/>
        <w:tblLayout w:type="fixed"/>
        <w:tblCellMar>
          <w:top w:w="0" w:type="dxa"/>
          <w:start w:w="108" w:type="dxa"/>
          <w:bottom w:w="0" w:type="dxa"/>
          <w:end w:w="108" w:type="dxa"/>
        </w:tblCellMar>
      </w:tblPr>
      <w:tblGrid>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pPr>
            <w:r>
              <w:rPr/>
              <w:t>Location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 – 6 Vidor</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 – 7 Eunice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 – 8 Zachary</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 – 9 Franklinton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 – 10 Wiggins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 –11 Mt. Vernon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 – 12 Munson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 – 13 Caryville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 – 14 Quincy</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 – 15 Perry</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 – 16 Brooker</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 – 17 Silver Springs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 – 18 Orlando</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 – 19 Melbourne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CS – 20 Ft. Pierce</w:t>
            </w:r>
          </w:p>
        </w:tc>
      </w:tr>
    </w:tbl>
    <w:p>
      <w:pPr>
        <w:pStyle w:val="Normal"/>
        <w:rPr/>
      </w:pPr>
      <w:r>
        <w:rPr/>
      </w:r>
    </w:p>
    <w:p>
      <w:pPr>
        <w:pStyle w:val="Normal"/>
        <w:rPr/>
      </w:pPr>
      <w:r>
        <w:rPr/>
      </w:r>
      <w:r>
        <w:br w:type="page"/>
      </w:r>
    </w:p>
    <w:p>
      <w:pPr>
        <w:pStyle w:val="Normal"/>
        <w:jc w:val="center"/>
        <w:rPr/>
      </w:pPr>
      <w:r>
        <w:rPr/>
        <w:t>Table 5</w:t>
      </w:r>
    </w:p>
    <w:p>
      <w:pPr>
        <w:pStyle w:val="Normal"/>
        <w:jc w:val="center"/>
        <w:rPr/>
      </w:pPr>
      <w:r>
        <w:rPr/>
        <w:t>NNG Rich-Burn Engines Greater Than 500 Horsepower Located at Nonmajor Sources</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088"/>
        <w:gridCol w:w="2160"/>
        <w:gridCol w:w="460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Location</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Number of Rich-Burn Engines &gt; 500 Horsepower</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Comments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Beaver Co. #1</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1, 2, 4, 5</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Beaver Co. #2</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 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Beaver Co. #6</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2, 3</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Beaver Co. #7</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1, 2, 4 (Units 2 and 4 are already controlled.)</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Beaver Co. #12</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1 - 4</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Beaver Co. #13</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 1</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Bobbitt</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 5</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Clark Co. #1</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2, 3</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Clark Co. #2</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6, 7</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Ellis Co. #1</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1, 3, 4</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Ellis Co. #2</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2, 3</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Ellis Co. #3</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 6</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Eunice</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1 - 4</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Finney Co. #1</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 5</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Finney Co. #3</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1, 3</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Finney Co. #4</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1 – 4 (Units 2 – 4 are already controlled.)</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Fort Buford</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 1</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Hemphill Co. #1</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1, 3</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Hemphill Co. #2</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3, 4</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Hemphill Co. #3</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1 - 5</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Hutchinson Co. #2</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 3</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Irion Co. #1</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1 - 3</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Irion Co. #2</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1, 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Martin Co. #1</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 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McConnell</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1 - 3</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Morton Co. #6</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1 and 2 are already controlled.</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Northrup</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1, 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Paullina</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1 - 5</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Reagan Co. #2</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 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Roger Mills Co. #1</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1 – 5 are already controlled.</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Stevens Co. #3</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 1</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Stevens Co. #4</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3, 4 (Unit 3 is already controlled.)</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Texas Co. #1</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Units 3 and 6 are already controlled.</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Woodward Co. #1</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 3</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Woodward Co. #3</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4608" w:type="dxa"/>
            <w:tcBorders>
              <w:top w:val="single" w:sz="4" w:space="0" w:color="000000"/>
              <w:start w:val="single" w:sz="4" w:space="0" w:color="000000"/>
              <w:bottom w:val="single" w:sz="4" w:space="0" w:color="000000"/>
              <w:end w:val="single" w:sz="4" w:space="0" w:color="000000"/>
            </w:tcBorders>
          </w:tcPr>
          <w:p>
            <w:pPr>
              <w:pStyle w:val="Normal"/>
              <w:rPr/>
            </w:pPr>
            <w:r>
              <w:rPr/>
              <w:t>Unit 4</w:t>
            </w:r>
          </w:p>
        </w:tc>
      </w:tr>
    </w:tbl>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Table 6</w:t>
      </w:r>
    </w:p>
    <w:p>
      <w:pPr>
        <w:pStyle w:val="Normal"/>
        <w:jc w:val="center"/>
        <w:rPr/>
      </w:pPr>
      <w:r>
        <w:rPr/>
        <w:t>NNG Major HAP Sources</w:t>
      </w:r>
    </w:p>
    <w:p>
      <w:pPr>
        <w:pStyle w:val="Normal"/>
        <w:rPr/>
      </w:pPr>
      <w:r>
        <w:rPr/>
      </w:r>
    </w:p>
    <w:tbl>
      <w:tblPr>
        <w:tblW w:w="6786" w:type="dxa"/>
        <w:jc w:val="center"/>
        <w:tblInd w:w="0" w:type="dxa"/>
        <w:tblLayout w:type="fixed"/>
        <w:tblCellMar>
          <w:top w:w="0" w:type="dxa"/>
          <w:start w:w="108" w:type="dxa"/>
          <w:bottom w:w="0" w:type="dxa"/>
          <w:end w:w="108" w:type="dxa"/>
        </w:tblCellMar>
      </w:tblPr>
      <w:tblGrid>
        <w:gridCol w:w="2952"/>
        <w:gridCol w:w="3834"/>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Location</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Definite Rich-Burn Engines &gt; 500 hp</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Beatrice</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None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Beaver</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None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Burdett</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None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Bushton</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A-2 and A-3</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Carlton</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None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Clifton</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A-4</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Cunningham</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None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Farmington</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None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Holcomb</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Unit 11 is already controlled.</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Hugoton</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Units 1-11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Mullinville</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A-8 is already controlled.</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North Branch</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None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Oakland</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None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Ogden</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None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Palmyra</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A-5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Redfield</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A-1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Spearman</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A-2</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Spraberry</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Units 6-10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Sublette</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Units 23, 24 and 25 are already controlled.</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Sunray</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A-1</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Ventura</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None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Waterloo</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A-1</w:t>
            </w:r>
          </w:p>
        </w:tc>
      </w:tr>
    </w:tbl>
    <w:p>
      <w:pPr>
        <w:pStyle w:val="Normal"/>
        <w:rPr/>
      </w:pPr>
      <w:r>
        <w:rPr/>
      </w:r>
      <w:r>
        <w:br w:type="page"/>
      </w:r>
    </w:p>
    <w:p>
      <w:pPr>
        <w:pStyle w:val="Normal"/>
        <w:jc w:val="center"/>
        <w:rPr/>
      </w:pPr>
      <w:r>
        <w:rPr/>
        <w:t>Table 7</w:t>
      </w:r>
    </w:p>
    <w:p>
      <w:pPr>
        <w:pStyle w:val="Normal"/>
        <w:jc w:val="center"/>
        <w:rPr/>
      </w:pPr>
      <w:r>
        <w:rPr/>
        <w:t>Possible NNG Major HAP Sources</w:t>
      </w:r>
    </w:p>
    <w:p>
      <w:pPr>
        <w:pStyle w:val="Normal"/>
        <w:rPr/>
      </w:pPr>
      <w:r>
        <w:rPr/>
      </w:r>
    </w:p>
    <w:tbl>
      <w:tblPr>
        <w:tblW w:w="8856" w:type="dxa"/>
        <w:jc w:val="center"/>
        <w:tblInd w:w="0" w:type="dxa"/>
        <w:tblLayout w:type="fixed"/>
        <w:tblCellMar>
          <w:top w:w="0" w:type="dxa"/>
          <w:start w:w="108" w:type="dxa"/>
          <w:bottom w:w="0" w:type="dxa"/>
          <w:end w:w="108" w:type="dxa"/>
        </w:tblCellMar>
      </w:tblPr>
      <w:tblGrid>
        <w:gridCol w:w="1908"/>
        <w:gridCol w:w="3507"/>
        <w:gridCol w:w="3441"/>
      </w:tblGrid>
      <w:tr>
        <w:trPr/>
        <w:tc>
          <w:tcPr>
            <w:tcW w:w="1908" w:type="dxa"/>
            <w:tcBorders>
              <w:top w:val="single" w:sz="4" w:space="0" w:color="000000"/>
              <w:start w:val="single" w:sz="4" w:space="0" w:color="000000"/>
              <w:bottom w:val="single" w:sz="4" w:space="0" w:color="000000"/>
              <w:end w:val="single" w:sz="4" w:space="0" w:color="000000"/>
            </w:tcBorders>
          </w:tcPr>
          <w:p>
            <w:pPr>
              <w:pStyle w:val="Normal"/>
              <w:jc w:val="center"/>
              <w:rPr/>
            </w:pPr>
            <w:r>
              <w:rPr/>
              <w:t>Location</w:t>
            </w:r>
          </w:p>
        </w:tc>
        <w:tc>
          <w:tcPr>
            <w:tcW w:w="3507" w:type="dxa"/>
            <w:tcBorders>
              <w:top w:val="single" w:sz="4" w:space="0" w:color="000000"/>
              <w:start w:val="single" w:sz="4" w:space="0" w:color="000000"/>
              <w:bottom w:val="single" w:sz="4" w:space="0" w:color="000000"/>
              <w:end w:val="single" w:sz="4" w:space="0" w:color="000000"/>
            </w:tcBorders>
          </w:tcPr>
          <w:p>
            <w:pPr>
              <w:pStyle w:val="Normal"/>
              <w:jc w:val="center"/>
              <w:rPr/>
            </w:pPr>
            <w:r>
              <w:rPr/>
              <w:t>Rich-Burn</w:t>
            </w:r>
          </w:p>
          <w:p>
            <w:pPr>
              <w:pStyle w:val="Normal"/>
              <w:jc w:val="center"/>
              <w:rPr/>
            </w:pPr>
            <w:r>
              <w:rPr/>
              <w:t>Engines &gt; 500 hp</w:t>
            </w:r>
          </w:p>
        </w:tc>
        <w:tc>
          <w:tcPr>
            <w:tcW w:w="3441" w:type="dxa"/>
            <w:tcBorders>
              <w:top w:val="single" w:sz="4" w:space="0" w:color="000000"/>
              <w:start w:val="single" w:sz="4" w:space="0" w:color="000000"/>
              <w:bottom w:val="single" w:sz="4" w:space="0" w:color="000000"/>
              <w:end w:val="single" w:sz="4" w:space="0" w:color="000000"/>
            </w:tcBorders>
          </w:tcPr>
          <w:p>
            <w:pPr>
              <w:pStyle w:val="Normal"/>
              <w:jc w:val="center"/>
              <w:rPr/>
            </w:pPr>
            <w:r>
              <w:rPr/>
              <w:t>Comments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Finney Co. #2</w:t>
            </w:r>
          </w:p>
        </w:tc>
        <w:tc>
          <w:tcPr>
            <w:tcW w:w="3507" w:type="dxa"/>
            <w:tcBorders>
              <w:top w:val="single" w:sz="4" w:space="0" w:color="000000"/>
              <w:start w:val="single" w:sz="4" w:space="0" w:color="000000"/>
              <w:bottom w:val="single" w:sz="4" w:space="0" w:color="000000"/>
              <w:end w:val="single" w:sz="4" w:space="0" w:color="000000"/>
            </w:tcBorders>
          </w:tcPr>
          <w:p>
            <w:pPr>
              <w:pStyle w:val="Normal"/>
              <w:rPr/>
            </w:pPr>
            <w:r>
              <w:rPr/>
              <w:t>Unit 3 is already controlled.</w:t>
            </w:r>
          </w:p>
        </w:tc>
        <w:tc>
          <w:tcPr>
            <w:tcW w:w="3441" w:type="dxa"/>
            <w:tcBorders>
              <w:top w:val="single" w:sz="4" w:space="0" w:color="000000"/>
              <w:start w:val="single" w:sz="4" w:space="0" w:color="000000"/>
              <w:bottom w:val="single" w:sz="4" w:space="0" w:color="000000"/>
              <w:end w:val="single" w:sz="4" w:space="0" w:color="000000"/>
            </w:tcBorders>
          </w:tcPr>
          <w:p>
            <w:pPr>
              <w:pStyle w:val="Normal"/>
              <w:rPr/>
            </w:pPr>
            <w:r>
              <w:rPr/>
              <w:t>Probably major source.</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Morton Co. #1</w:t>
            </w:r>
          </w:p>
        </w:tc>
        <w:tc>
          <w:tcPr>
            <w:tcW w:w="3507" w:type="dxa"/>
            <w:tcBorders>
              <w:top w:val="single" w:sz="4" w:space="0" w:color="000000"/>
              <w:start w:val="single" w:sz="4" w:space="0" w:color="000000"/>
              <w:bottom w:val="single" w:sz="4" w:space="0" w:color="000000"/>
              <w:end w:val="single" w:sz="4" w:space="0" w:color="000000"/>
            </w:tcBorders>
          </w:tcPr>
          <w:p>
            <w:pPr>
              <w:pStyle w:val="Normal"/>
              <w:rPr/>
            </w:pPr>
            <w:r>
              <w:rPr/>
              <w:t>Units 4 – 9 (Unit 7 is already controlled.)</w:t>
            </w:r>
          </w:p>
        </w:tc>
        <w:tc>
          <w:tcPr>
            <w:tcW w:w="3441" w:type="dxa"/>
            <w:tcBorders>
              <w:top w:val="single" w:sz="4" w:space="0" w:color="000000"/>
              <w:start w:val="single" w:sz="4" w:space="0" w:color="000000"/>
              <w:bottom w:val="single" w:sz="4" w:space="0" w:color="000000"/>
              <w:end w:val="single" w:sz="4" w:space="0" w:color="000000"/>
            </w:tcBorders>
          </w:tcPr>
          <w:p>
            <w:pPr>
              <w:pStyle w:val="Normal"/>
              <w:rPr/>
            </w:pPr>
            <w:r>
              <w:rPr/>
              <w:t>Very close.</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Stevens Co. #1</w:t>
            </w:r>
          </w:p>
        </w:tc>
        <w:tc>
          <w:tcPr>
            <w:tcW w:w="3507" w:type="dxa"/>
            <w:tcBorders>
              <w:top w:val="single" w:sz="4" w:space="0" w:color="000000"/>
              <w:start w:val="single" w:sz="4" w:space="0" w:color="000000"/>
              <w:bottom w:val="single" w:sz="4" w:space="0" w:color="000000"/>
              <w:end w:val="single" w:sz="4" w:space="0" w:color="000000"/>
            </w:tcBorders>
          </w:tcPr>
          <w:p>
            <w:pPr>
              <w:pStyle w:val="Normal"/>
              <w:rPr/>
            </w:pPr>
            <w:r>
              <w:rPr/>
              <w:t>Units 1 – 3 and 5</w:t>
            </w:r>
          </w:p>
        </w:tc>
        <w:tc>
          <w:tcPr>
            <w:tcW w:w="3441" w:type="dxa"/>
            <w:tcBorders>
              <w:top w:val="single" w:sz="4" w:space="0" w:color="000000"/>
              <w:start w:val="single" w:sz="4" w:space="0" w:color="000000"/>
              <w:bottom w:val="single" w:sz="4" w:space="0" w:color="000000"/>
              <w:end w:val="single" w:sz="4" w:space="0" w:color="000000"/>
            </w:tcBorders>
          </w:tcPr>
          <w:p>
            <w:pPr>
              <w:pStyle w:val="Normal"/>
              <w:rPr/>
            </w:pPr>
            <w:r>
              <w:rPr/>
              <w:t>Very close.</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Stevens Co. #2</w:t>
            </w:r>
          </w:p>
        </w:tc>
        <w:tc>
          <w:tcPr>
            <w:tcW w:w="3507" w:type="dxa"/>
            <w:tcBorders>
              <w:top w:val="single" w:sz="4" w:space="0" w:color="000000"/>
              <w:start w:val="single" w:sz="4" w:space="0" w:color="000000"/>
              <w:bottom w:val="single" w:sz="4" w:space="0" w:color="000000"/>
              <w:end w:val="single" w:sz="4" w:space="0" w:color="000000"/>
            </w:tcBorders>
          </w:tcPr>
          <w:p>
            <w:pPr>
              <w:pStyle w:val="Normal"/>
              <w:rPr/>
            </w:pPr>
            <w:r>
              <w:rPr/>
              <w:t>Units 6, 7, and 8 (Unit 7 is already controlled.)</w:t>
            </w:r>
          </w:p>
        </w:tc>
        <w:tc>
          <w:tcPr>
            <w:tcW w:w="3441" w:type="dxa"/>
            <w:tcBorders>
              <w:top w:val="single" w:sz="4" w:space="0" w:color="000000"/>
              <w:start w:val="single" w:sz="4" w:space="0" w:color="000000"/>
              <w:bottom w:val="single" w:sz="4" w:space="0" w:color="000000"/>
              <w:end w:val="single" w:sz="4" w:space="0" w:color="000000"/>
            </w:tcBorders>
          </w:tcPr>
          <w:p>
            <w:pPr>
              <w:pStyle w:val="Normal"/>
              <w:rPr/>
            </w:pPr>
            <w:r>
              <w:rPr/>
              <w:t>Probably not a major source.</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Stevens Co. #6</w:t>
            </w:r>
          </w:p>
        </w:tc>
        <w:tc>
          <w:tcPr>
            <w:tcW w:w="3507" w:type="dxa"/>
            <w:tcBorders>
              <w:top w:val="single" w:sz="4" w:space="0" w:color="000000"/>
              <w:start w:val="single" w:sz="4" w:space="0" w:color="000000"/>
              <w:bottom w:val="single" w:sz="4" w:space="0" w:color="000000"/>
              <w:end w:val="single" w:sz="4" w:space="0" w:color="000000"/>
            </w:tcBorders>
          </w:tcPr>
          <w:p>
            <w:pPr>
              <w:pStyle w:val="Normal"/>
              <w:rPr/>
            </w:pPr>
            <w:r>
              <w:rPr/>
              <w:t>Unit 5 is already controlled.</w:t>
            </w:r>
          </w:p>
        </w:tc>
        <w:tc>
          <w:tcPr>
            <w:tcW w:w="3441" w:type="dxa"/>
            <w:tcBorders>
              <w:top w:val="single" w:sz="4" w:space="0" w:color="000000"/>
              <w:start w:val="single" w:sz="4" w:space="0" w:color="000000"/>
              <w:bottom w:val="single" w:sz="4" w:space="0" w:color="000000"/>
              <w:end w:val="single" w:sz="4" w:space="0" w:color="000000"/>
            </w:tcBorders>
          </w:tcPr>
          <w:p>
            <w:pPr>
              <w:pStyle w:val="Normal"/>
              <w:rPr/>
            </w:pPr>
            <w:r>
              <w:rPr/>
              <w:t>Probably major source.</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Tate</w:t>
            </w:r>
          </w:p>
        </w:tc>
        <w:tc>
          <w:tcPr>
            <w:tcW w:w="3507" w:type="dxa"/>
            <w:tcBorders>
              <w:top w:val="single" w:sz="4" w:space="0" w:color="000000"/>
              <w:start w:val="single" w:sz="4" w:space="0" w:color="000000"/>
              <w:bottom w:val="single" w:sz="4" w:space="0" w:color="000000"/>
              <w:end w:val="single" w:sz="4" w:space="0" w:color="000000"/>
            </w:tcBorders>
          </w:tcPr>
          <w:p>
            <w:pPr>
              <w:pStyle w:val="Normal"/>
              <w:rPr/>
            </w:pPr>
            <w:r>
              <w:rPr/>
              <w:t>Units 7 – 11 (Unit 9 is already controlled)</w:t>
            </w:r>
          </w:p>
        </w:tc>
        <w:tc>
          <w:tcPr>
            <w:tcW w:w="3441" w:type="dxa"/>
            <w:tcBorders>
              <w:top w:val="single" w:sz="4" w:space="0" w:color="000000"/>
              <w:start w:val="single" w:sz="4" w:space="0" w:color="000000"/>
              <w:bottom w:val="single" w:sz="4" w:space="0" w:color="000000"/>
              <w:end w:val="single" w:sz="4" w:space="0" w:color="000000"/>
            </w:tcBorders>
          </w:tcPr>
          <w:p>
            <w:pPr>
              <w:pStyle w:val="Normal"/>
              <w:rPr/>
            </w:pPr>
            <w:r>
              <w:rPr/>
              <w:t>Very close.</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Texas Co. #2</w:t>
            </w:r>
          </w:p>
        </w:tc>
        <w:tc>
          <w:tcPr>
            <w:tcW w:w="3507" w:type="dxa"/>
            <w:tcBorders>
              <w:top w:val="single" w:sz="4" w:space="0" w:color="000000"/>
              <w:start w:val="single" w:sz="4" w:space="0" w:color="000000"/>
              <w:bottom w:val="single" w:sz="4" w:space="0" w:color="000000"/>
              <w:end w:val="single" w:sz="4" w:space="0" w:color="000000"/>
            </w:tcBorders>
          </w:tcPr>
          <w:p>
            <w:pPr>
              <w:pStyle w:val="Normal"/>
              <w:rPr/>
            </w:pPr>
            <w:r>
              <w:rPr/>
              <w:t>Units 3, 4 and 5</w:t>
            </w:r>
          </w:p>
        </w:tc>
        <w:tc>
          <w:tcPr>
            <w:tcW w:w="3441" w:type="dxa"/>
            <w:tcBorders>
              <w:top w:val="single" w:sz="4" w:space="0" w:color="000000"/>
              <w:start w:val="single" w:sz="4" w:space="0" w:color="000000"/>
              <w:bottom w:val="single" w:sz="4" w:space="0" w:color="000000"/>
              <w:end w:val="single" w:sz="4" w:space="0" w:color="000000"/>
            </w:tcBorders>
          </w:tcPr>
          <w:p>
            <w:pPr>
              <w:pStyle w:val="Normal"/>
              <w:rPr/>
            </w:pPr>
            <w:r>
              <w:rPr/>
              <w:t>Probably major source</w:t>
            </w:r>
          </w:p>
        </w:tc>
      </w:tr>
    </w:tbl>
    <w:p>
      <w:pPr>
        <w:pStyle w:val="Normal"/>
        <w:rPr/>
      </w:pPr>
      <w:r>
        <w:rPr/>
      </w:r>
    </w:p>
    <w:p>
      <w:pPr>
        <w:pStyle w:val="Normal"/>
        <w:rPr/>
      </w:pPr>
      <w:r>
        <w:rPr/>
      </w:r>
    </w:p>
    <w:p>
      <w:pPr>
        <w:pStyle w:val="Normal"/>
        <w:rPr/>
      </w:pPr>
      <w:r>
        <w:rPr/>
      </w:r>
    </w:p>
    <w:p>
      <w:pPr>
        <w:pStyle w:val="Normal"/>
        <w:jc w:val="center"/>
        <w:rPr/>
      </w:pPr>
      <w:r>
        <w:rPr/>
        <w:t>Table 8</w:t>
      </w:r>
    </w:p>
    <w:p>
      <w:pPr>
        <w:pStyle w:val="Normal"/>
        <w:jc w:val="center"/>
        <w:rPr/>
      </w:pPr>
      <w:r>
        <w:rPr/>
        <w:t>NNG 4-Stroke Horizontal Engines at Major HAP Sources</w:t>
      </w:r>
    </w:p>
    <w:p>
      <w:pPr>
        <w:pStyle w:val="Normal"/>
        <w:rPr/>
      </w:pPr>
      <w:r>
        <w:rPr/>
      </w:r>
    </w:p>
    <w:tbl>
      <w:tblPr>
        <w:tblW w:w="6786" w:type="dxa"/>
        <w:jc w:val="center"/>
        <w:tblInd w:w="0" w:type="dxa"/>
        <w:tblLayout w:type="fixed"/>
        <w:tblCellMar>
          <w:top w:w="0" w:type="dxa"/>
          <w:start w:w="108" w:type="dxa"/>
          <w:bottom w:w="0" w:type="dxa"/>
          <w:end w:w="108" w:type="dxa"/>
        </w:tblCellMar>
      </w:tblPr>
      <w:tblGrid>
        <w:gridCol w:w="2952"/>
        <w:gridCol w:w="3834"/>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Location</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Comments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Holcomb</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Units 1 – 8</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Mullinville</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Units 6 – 18</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Oakland</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Units 6, 7, 8 – 14</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Ogden</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Units 7 – 12</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Sunray</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Units 1, 3 - 7</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Ventura</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Units 6 - 10</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2001-11-30T15:01:00Z</dcterms:created>
  <dc:creator>rjensen</dc:creator>
  <dc:description/>
  <dc:language>en-CA</dc:language>
  <cp:lastModifiedBy>rjensen</cp:lastModifiedBy>
  <cp:lastPrinted>2001-12-04T08:57:00Z</cp:lastPrinted>
  <dcterms:modified xsi:type="dcterms:W3CDTF">2001-12-05T11:59:00Z</dcterms:modified>
  <cp:revision>23</cp:revision>
  <dc:subject/>
  <dc:title>Engine MACT (Maximum Achievable Control Technology) Applicability to ETS Facilities</dc:title>
</cp:coreProperties>
</file>