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spacing w:before="0" w:after="600"/>
        <w:jc w:val="center"/>
        <w:rPr/>
      </w:pP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0" distB="0" distL="114935" distR="114935" simplePos="0" locked="0" layoutInCell="0" allowOverlap="1" relativeHeight="5">
                <wp:simplePos x="0" y="0"/>
                <wp:positionH relativeFrom="page">
                  <wp:posOffset>6053455</wp:posOffset>
                </wp:positionH>
                <wp:positionV relativeFrom="page">
                  <wp:posOffset>1371600</wp:posOffset>
                </wp:positionV>
                <wp:extent cx="1333500" cy="91440"/>
                <wp:effectExtent l="0" t="0" r="0" b="0"/>
                <wp:wrapNone/>
                <wp:docPr id="1" name="Frame1"/>
                <a:graphic xmlns:a="http://schemas.openxmlformats.org/drawingml/2006/main">
                  <a:graphicData uri="http://schemas.microsoft.com/office/word/2010/wordprocessingShape">
                    <wps:wsp>
                      <wps:cNvSpPr txBox="1"/>
                      <wps:spPr>
                        <a:xfrm>
                          <a:off x="0" y="0"/>
                          <a:ext cx="1333500" cy="91440"/>
                        </a:xfrm>
                        <a:prstGeom prst="rect"/>
                        <a:solidFill>
                          <a:srgbClr val="FFFFFF">
                            <a:alpha val="0"/>
                          </a:srgbClr>
                        </a:solidFill>
                      </wps:spPr>
                      <wps:txbx>
                        <w:txbxContent>
                          <w:p>
                            <w:pPr>
                              <w:pStyle w:val="Normal"/>
                              <w:rPr>
                                <w:caps/>
                                <w:spacing w:val="2"/>
                                <w:sz w:val="12"/>
                                <w:szCs w:val="20"/>
                                <w:lang w:val="en-CA" w:eastAsia="en-CA"/>
                              </w:rPr>
                            </w:pPr>
                            <w:r>
                              <w:rPr>
                                <w:caps/>
                                <w:spacing w:val="2"/>
                                <w:sz w:val="12"/>
                                <w:szCs w:val="20"/>
                                <w:lang w:val="en-CA" w:eastAsia="en-CA"/>
                              </w:rPr>
                            </w:r>
                          </w:p>
                        </w:txbxContent>
                      </wps:txbx>
                      <wps:bodyPr anchor="t" lIns="635" tIns="635" rIns="635" bIns="635">
                        <a:noAutofit/>
                      </wps:bodyPr>
                    </wps:wsp>
                  </a:graphicData>
                </a:graphic>
              </wp:anchor>
            </w:drawing>
          </mc:Choice>
          <mc:Fallback>
            <w:pict>
              <v:rect fillcolor="#FFFFFF" style="position:absolute;rotation:-0;width:105pt;height:7.2pt;mso-wrap-distance-left:9.05pt;mso-wrap-distance-right:9.05pt;mso-wrap-distance-top:0pt;mso-wrap-distance-bottom:0pt;margin-top:108pt;mso-position-vertical-relative:page;margin-left:476.65pt;mso-position-horizontal-relative:page">
                <v:fill opacity="0f"/>
                <v:textbox inset="0.000694444444444445in,0.000694444444444445in,0.000694444444444445in,0.000694444444444445in">
                  <w:txbxContent>
                    <w:p>
                      <w:pPr>
                        <w:pStyle w:val="Normal"/>
                        <w:rPr>
                          <w:caps/>
                          <w:spacing w:val="2"/>
                          <w:sz w:val="12"/>
                          <w:szCs w:val="20"/>
                          <w:lang w:val="en-CA" w:eastAsia="en-CA"/>
                        </w:rPr>
                      </w:pPr>
                      <w:r>
                        <w:rPr>
                          <w:caps/>
                          <w:spacing w:val="2"/>
                          <w:sz w:val="12"/>
                          <w:szCs w:val="20"/>
                          <w:lang w:val="en-CA" w:eastAsia="en-CA"/>
                        </w:rPr>
                      </w:r>
                    </w:p>
                  </w:txbxContent>
                </v:textbox>
                <w10:wrap type="none"/>
              </v:rect>
            </w:pict>
          </mc:Fallback>
        </mc:AlternateContent>
      </w:r>
    </w:p>
    <w:p>
      <w:pPr>
        <w:pStyle w:val="BodyText"/>
        <w:jc w:val="end"/>
        <w:rPr>
          <w:sz w:val="40"/>
        </w:rPr>
      </w:pPr>
      <w:r>
        <w:rPr>
          <w:sz w:val="40"/>
        </w:rPr>
        <w:t>DRAFT</w:t>
      </w:r>
    </w:p>
    <w:p>
      <w:pPr>
        <w:pStyle w:val="EnvelopeAddress"/>
        <w:rPr/>
      </w:pPr>
      <w:r>
        <w:rPr/>
        <w:t>Enron North America Corp.</w:t>
      </w:r>
    </w:p>
    <w:p>
      <w:pPr>
        <w:pStyle w:val="Normal"/>
        <w:rPr/>
      </w:pPr>
      <w:r>
        <w:rPr/>
        <w:t>1400 Smith Street</w:t>
      </w:r>
    </w:p>
    <w:p>
      <w:pPr>
        <w:pStyle w:val="Normal"/>
        <w:rPr/>
      </w:pPr>
      <w:r>
        <w:rPr/>
        <w:t>Houston, TX 77002-7361</w:t>
      </w:r>
    </w:p>
    <w:p>
      <w:pPr>
        <w:pStyle w:val="Normal"/>
        <w:rPr/>
      </w:pPr>
      <w:r>
        <w:rPr/>
      </w:r>
    </w:p>
    <w:p>
      <w:pPr>
        <w:pStyle w:val="EnvelopeAddress"/>
        <w:rPr/>
      </w:pPr>
      <w:r>
        <w:rPr/>
        <w:t>Attention:  Richard B. Sanders, Assistant General Counsel.</w:t>
      </w:r>
    </w:p>
    <w:p>
      <w:pPr>
        <w:pStyle w:val="ReLine"/>
        <w:ind w:hanging="0" w:start="1425" w:end="0"/>
        <w:rPr/>
      </w:pPr>
      <w:r>
        <w:rPr/>
        <w:t>Re:</w:t>
        <w:tab/>
      </w:r>
      <w:r>
        <w:rPr>
          <w:u w:val="single"/>
        </w:rPr>
        <w:t>Farallon Capital Partners v. Gleacher &amp; Co. et al., LASC No. BC 215260</w:t>
      </w:r>
    </w:p>
    <w:p>
      <w:pPr>
        <w:pStyle w:val="Normal"/>
        <w:rPr/>
      </w:pPr>
      <w:r>
        <w:rPr>
          <w:rFonts w:eastAsia="Berkeley"/>
        </w:rPr>
        <w:t xml:space="preserve">                                   </w:t>
      </w:r>
      <w:r>
        <w:rPr>
          <w:u w:val="single"/>
        </w:rPr>
        <w:t>Legg Mason Income Trust v. Gleacher &amp; Co. et al., LASC No. BC 218294</w:t>
      </w:r>
    </w:p>
    <w:p>
      <w:pPr>
        <w:pStyle w:val="Salutation"/>
        <w:rPr/>
      </w:pPr>
      <w:r>
        <w:rPr/>
        <w:t>Dear Richard:</w:t>
      </w:r>
    </w:p>
    <w:p>
      <w:pPr>
        <w:pStyle w:val="BodyText"/>
        <w:rPr/>
      </w:pPr>
      <w:r>
        <w:rPr/>
        <w:t>We are pleased to confirm the terms of our firm’s legal representation of ECT Securities Limited Partnership (“Ect Securitites”).</w:t>
      </w:r>
    </w:p>
    <w:p>
      <w:pPr>
        <w:pStyle w:val="BodyText"/>
        <w:rPr/>
      </w:pPr>
      <w:r>
        <w:rPr>
          <w:u w:val="single"/>
        </w:rPr>
        <w:t>Services to be Provided</w:t>
      </w:r>
      <w:r>
        <w:rPr/>
        <w:t>:  You have engaged us to render legal services on behalf of  ECT Securities in connection with the two actions referenced above, pending in the Los Angeles Superior Court, as well as several related actions in which ECT Securities is not named as a party, pending in other jurisdictions (collectively, the “NSM Litigation”).  We will do our utmost to provide vigorous and efficient representation.  I will be primarily responsible for this matter and will utilize other attorneys and paralegals in the firm, as needed, in the best exercise of our professional judgment.  In addition, per your direction, we are also working with Roland Tellis at Milbank, Tweed, Hadley &amp; McCloy on this matter.  If at any time you have any questions or concerns, please contact me.</w:t>
      </w:r>
    </w:p>
    <w:p>
      <w:pPr>
        <w:pStyle w:val="BodyText"/>
        <w:rPr/>
      </w:pPr>
      <w:r>
        <w:rPr>
          <w:u w:val="single"/>
        </w:rPr>
        <w:t>Fees</w:t>
      </w:r>
      <w:r>
        <w:rPr/>
        <w:t>:  You agree to pay fees to us for our services at our regular hourly rates as they may exist from time to time.  The hourly rates currently in effect for personnel in our firm range from $180 to $700 per hour for attorney time, $125 to $150 per hour for paralegal time and $65 per hour for paralegal assistant time.  My current hourly rate is $500.00.  Our monthly statements will include a schedule of the then current hourly rates for all attorneys and paralegals in the firm who are working on your matter.  Our rates may be reviewed and increased, generally at the beginning of each calendar year.</w:t>
      </w:r>
    </w:p>
    <w:p>
      <w:pPr>
        <w:pStyle w:val="BodyText"/>
        <w:rPr/>
      </w:pPr>
      <w:r>
        <w:rPr>
          <w:u w:val="single"/>
        </w:rPr>
        <w:t>Costs and Other Firm Charges</w:t>
      </w:r>
      <w:r>
        <w:rPr/>
        <w:t>:  You agree to pay us for all costs and other firm charges incurred in performing the legal services.  Such costs may include messenger fees, long distance telephone expenses, clerical staff overtime, tr</w:t>
      </w:r>
      <w:bookmarkStart w:id="0" w:name="docxsave"/>
      <w:bookmarkEnd w:id="0"/>
      <w:r>
        <w:rPr/>
        <w:t>avel expenses such as parking, airfare, meals, and hotel accommodations, process servers’ fees, filing fees and other fees assessed by courts and other public agencies, court reporters’ fees, jury fees, witness fees, investigators’ fees, experts’ fees, and other similar items.  Other firm charges may include in-house photocopying, fax and computer legal research.</w:t>
      </w:r>
    </w:p>
    <w:p>
      <w:pPr>
        <w:pStyle w:val="BodyText"/>
        <w:rPr/>
      </w:pPr>
      <w:r>
        <w:rPr>
          <w:u w:val="single"/>
        </w:rPr>
        <w:t>Billing</w:t>
      </w:r>
      <w:r>
        <w:rPr/>
        <w:t>:  Our statements for fees, costs and other firm charges generally will be prepared and mailed promptly following the month in which the services are rendered and costs are advanced.  You agree to pay such statements in full upon receipt.  The rates which we charge are predicated upon payment of our statements upon receipt.  We will include in our statements a description of services for which you are being charged, the time consumed, the attorney involved, and  identification of any costs and other firm charges for which we seek payment.  We will review all statements before they are mailed to you to assure that the amount charged is appropriate.</w:t>
      </w:r>
    </w:p>
    <w:p>
      <w:pPr>
        <w:pStyle w:val="BodyText"/>
        <w:rPr/>
      </w:pPr>
      <w:r>
        <w:rPr>
          <w:u w:val="single"/>
        </w:rPr>
        <w:t>Termination of Services</w:t>
      </w:r>
      <w:r>
        <w:rPr/>
        <w:t>:  Either party shall have the right at any time to terminate our legal representation upon written notice to the other.  Such termination shall not, however, relieve you of the obligation promptly to pay us for our services rendered and costs incurred prior to such termination.  You agree to pay us in advance for the time and expense of duplicating records requested by you following the termination or completion of our services.</w:t>
      </w:r>
    </w:p>
    <w:p>
      <w:pPr>
        <w:pStyle w:val="BodyText"/>
        <w:rPr/>
      </w:pPr>
      <w:r>
        <w:rPr>
          <w:u w:val="single"/>
        </w:rPr>
        <w:t>Gleacher &amp; Co.</w:t>
      </w:r>
      <w:r>
        <w:rPr/>
        <w:t xml:space="preserve">:   We have advised you that we will not be able, either in the above referenced cases, or in any other case, to represent ECT Securities in the assertion of any claim adverse to Gleacher &amp; Co. relating to the subject matter of the NSM Litigation. </w:t>
      </w:r>
    </w:p>
    <w:p>
      <w:pPr>
        <w:pStyle w:val="BodyText"/>
        <w:rPr/>
      </w:pPr>
      <w:r>
        <w:rPr>
          <w:u w:val="single"/>
        </w:rPr>
        <w:t>Miscellaneous</w:t>
      </w:r>
      <w:r>
        <w:rPr/>
        <w:t>:  We will keep you reasonably informed as to the status of these matters and as to the courses of action which we are following or which we recommend.</w:t>
      </w:r>
    </w:p>
    <w:p>
      <w:pPr>
        <w:pStyle w:val="BodyText"/>
        <w:rPr/>
      </w:pPr>
      <w:r>
        <w:rPr/>
        <w:t>We have made no promises or guarantees to you concerning the outcome of these matters, and nothing in this letter shall be construed as such a promise or guarantee.  Any comments we may have made regarding the eventual outcome are expressions of opinion only.</w:t>
      </w:r>
    </w:p>
    <w:p>
      <w:pPr>
        <w:pStyle w:val="BodyText"/>
        <w:rPr/>
      </w:pPr>
      <w:r>
        <w:rPr/>
        <w:t>This agreement shall apply to any additional or subsequent matters we agree to undertake on your behalf unless we agree in writing to some different arrangement.</w:t>
      </w:r>
      <w:r>
        <w:br w:type="page"/>
      </w:r>
    </w:p>
    <w:p>
      <w:pPr>
        <w:pStyle w:val="BodyText"/>
        <w:rPr/>
      </w:pPr>
      <w:r>
        <w:rPr/>
        <w:t>Thank you for the confidence you have shown by retaining our firm.  We will do our utmost to represent you to the best of our abilities.  Please sign and return the enclosed copy of this letter evidencing your agreement to the foregoing terms of representation.</w:t>
      </w:r>
    </w:p>
    <w:p>
      <w:pPr>
        <w:pStyle w:val="LetterSignature"/>
        <w:rPr/>
      </w:pPr>
      <w:r>
        <w:rPr/>
        <w:t>Very truly yours,</w:t>
      </w:r>
    </w:p>
    <w:p>
      <w:pPr>
        <w:pStyle w:val="LetterSignature"/>
        <w:rPr/>
      </w:pPr>
      <w:r>
        <w:rPr/>
      </w:r>
    </w:p>
    <w:p>
      <w:pPr>
        <w:pStyle w:val="LetterSignature"/>
        <w:rPr/>
      </w:pPr>
      <w:r>
        <w:rPr/>
      </w:r>
    </w:p>
    <w:p>
      <w:pPr>
        <w:pStyle w:val="LetterSignature"/>
        <w:rPr/>
      </w:pPr>
      <w:r>
        <w:rPr/>
      </w:r>
    </w:p>
    <w:p>
      <w:pPr>
        <w:pStyle w:val="LetterSignature"/>
        <w:rPr/>
      </w:pPr>
      <w:r>
        <w:rPr/>
      </w:r>
    </w:p>
    <w:p>
      <w:pPr>
        <w:pStyle w:val="LetterSignature"/>
        <w:spacing w:before="0" w:after="720"/>
        <w:rPr/>
      </w:pPr>
      <w:r>
        <w:rPr/>
        <w:t>C. Stephen Howard</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BodyText"/>
              <w:spacing w:before="0" w:after="0"/>
              <w:ind w:hanging="0" w:end="0"/>
              <w:rPr/>
            </w:pPr>
            <w:r>
              <w:rPr/>
              <w:t>Enron North America Corp.</w:t>
            </w:r>
          </w:p>
          <w:p>
            <w:pPr>
              <w:pStyle w:val="BodyText"/>
              <w:spacing w:lineRule="exact" w:line="240" w:before="0" w:after="0"/>
              <w:ind w:hanging="0" w:end="0"/>
              <w:rPr/>
            </w:pPr>
            <w:r>
              <w:rPr/>
              <w:t>By: __________________________</w:t>
            </w:r>
          </w:p>
          <w:p>
            <w:pPr>
              <w:pStyle w:val="BodyText"/>
              <w:spacing w:lineRule="exact" w:line="240"/>
              <w:ind w:hanging="0" w:end="0"/>
              <w:rPr/>
            </w:pPr>
            <w:r>
              <w:rPr>
                <w:rFonts w:eastAsia="Berkeley"/>
              </w:rPr>
              <w:t xml:space="preserve">            </w:t>
            </w:r>
            <w:r>
              <w:rPr/>
              <w:t>Richard B. Sanders</w:t>
            </w:r>
          </w:p>
          <w:p>
            <w:pPr>
              <w:pStyle w:val="BodyText"/>
              <w:ind w:hanging="0" w:end="0"/>
              <w:rPr/>
            </w:pPr>
            <w:r>
              <w:rPr/>
              <w:t>Its: Assistant General Counsel</w:t>
            </w:r>
          </w:p>
          <w:p>
            <w:pPr>
              <w:pStyle w:val="BodyText"/>
              <w:spacing w:before="0" w:after="240"/>
              <w:ind w:hanging="0" w:end="0"/>
              <w:rPr/>
            </w:pPr>
            <w:r>
              <w:rPr/>
            </w:r>
          </w:p>
        </w:tc>
        <w:tc>
          <w:tcPr>
            <w:tcW w:w="4788" w:type="dxa"/>
            <w:tcBorders/>
          </w:tcPr>
          <w:p>
            <w:pPr>
              <w:pStyle w:val="BodyText"/>
              <w:snapToGrid w:val="false"/>
              <w:spacing w:before="0" w:after="240"/>
              <w:ind w:hanging="0" w:end="0"/>
              <w:rPr/>
            </w:pPr>
            <w:r>
              <w:rPr/>
            </w:r>
          </w:p>
        </w:tc>
      </w:tr>
    </w:tbl>
    <w:p>
      <w:pPr>
        <w:pStyle w:val="BodyText"/>
        <w:ind w:hanging="0" w:end="0"/>
        <w:rPr>
          <w:sz w:val="18"/>
        </w:rPr>
      </w:pPr>
      <w:r>
        <w:rPr>
          <w:sz w:val="18"/>
        </w:rPr>
        <w:t>545319_1.DOC</w:t>
      </w:r>
    </w:p>
    <w:p>
      <w:pPr>
        <w:pStyle w:val="Normal"/>
        <w:rPr>
          <w:sz w:val="18"/>
          <w:lang w:val="en-CA" w:eastAsia="en-CA"/>
        </w:rPr>
      </w:pPr>
      <w:r>
        <w:rPr>
          <w:sz w:val="18"/>
          <w:lang w:val="en-CA" w:eastAsia="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ge">
                  <wp:posOffset>9372600</wp:posOffset>
                </wp:positionV>
                <wp:extent cx="2971800" cy="139700"/>
                <wp:effectExtent l="0" t="0" r="0" b="0"/>
                <wp:wrapNone/>
                <wp:docPr id="2" name="Frame2"/>
                <a:graphic xmlns:a="http://schemas.openxmlformats.org/drawingml/2006/main">
                  <a:graphicData uri="http://schemas.microsoft.com/office/word/2010/wordprocessingShape">
                    <wps:wsp>
                      <wps:cNvSpPr txBox="1"/>
                      <wps:spPr>
                        <a:xfrm>
                          <a:off x="0" y="0"/>
                          <a:ext cx="2971800" cy="139700"/>
                        </a:xfrm>
                        <a:prstGeom prst="rect"/>
                        <a:solidFill>
                          <a:srgbClr val="FFFFFF">
                            <a:alpha val="0"/>
                          </a:srgbClr>
                        </a:solidFill>
                      </wps:spPr>
                      <wps:txbx>
                        <w:txbxContent>
                          <w:p>
                            <w:pPr>
                              <w:pStyle w:val="Normal"/>
                              <w:tabs>
                                <w:tab w:val="clear" w:pos="720"/>
                                <w:tab w:val="center" w:pos="0" w:leader="none"/>
                              </w:tabs>
                              <w:rPr>
                                <w:sz w:val="18"/>
                              </w:rPr>
                            </w:pPr>
                            <w:r>
                              <w:rPr>
                                <w:sz w:val="18"/>
                              </w:rPr>
                              <w:t>545319_1.DOC</w:t>
                            </w:r>
                          </w:p>
                        </w:txbxContent>
                      </wps:txbx>
                      <wps:bodyPr anchor="t" lIns="635" tIns="635" rIns="635" bIns="635">
                        <a:noAutofit/>
                      </wps:bodyPr>
                    </wps:wsp>
                  </a:graphicData>
                </a:graphic>
              </wp:anchor>
            </w:drawing>
          </mc:Choice>
          <mc:Fallback>
            <w:pict>
              <v:rect fillcolor="#FFFFFF" style="position:absolute;rotation:-0;width:234pt;height:11pt;mso-wrap-distance-left:9.05pt;mso-wrap-distance-right:9.05pt;mso-wrap-distance-top:0pt;mso-wrap-distance-bottom:0pt;margin-top:738pt;mso-position-vertical-relative:page;margin-left:0pt;mso-position-horizontal-relative:margin">
                <v:fill opacity="0f"/>
                <v:textbox inset="0.000694444444444445in,0.000694444444444445in,0.000694444444444445in,0.000694444444444445in">
                  <w:txbxContent>
                    <w:p>
                      <w:pPr>
                        <w:pStyle w:val="Normal"/>
                        <w:tabs>
                          <w:tab w:val="clear" w:pos="720"/>
                          <w:tab w:val="center" w:pos="0" w:leader="none"/>
                        </w:tabs>
                        <w:rPr>
                          <w:sz w:val="18"/>
                        </w:rPr>
                      </w:pPr>
                      <w:r>
                        <w:rPr>
                          <w:sz w:val="18"/>
                        </w:rPr>
                        <w:t>545319_1.DOC</w:t>
                      </w:r>
                    </w:p>
                  </w:txbxContent>
                </v:textbox>
                <w10:wrap type="none"/>
              </v:rect>
            </w:pict>
          </mc:Fallback>
        </mc:AlternateContent>
      </w:r>
    </w:p>
    <w:sectPr>
      <w:headerReference w:type="default" r:id="rId2"/>
      <w:headerReference w:type="first" r:id="rId3"/>
      <w:footerReference w:type="default" r:id="rId4"/>
      <w:footerReference w:type="first" r:id="rId5"/>
      <w:type w:val="nextPage"/>
      <w:pgSz w:w="12240" w:h="15840"/>
      <w:pgMar w:left="1440" w:right="1440" w:gutter="0" w:header="720"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align>center</wp:align>
              </wp:positionH>
              <wp:positionV relativeFrom="page">
                <wp:posOffset>9263380</wp:posOffset>
              </wp:positionV>
              <wp:extent cx="6858000" cy="640080"/>
              <wp:effectExtent l="0" t="0" r="0" b="0"/>
              <wp:wrapSquare wrapText="bothSides"/>
              <wp:docPr id="4" name="Frame3"/>
              <a:graphic xmlns:a="http://schemas.openxmlformats.org/drawingml/2006/main">
                <a:graphicData uri="http://schemas.microsoft.com/office/word/2010/wordprocessingShape">
                  <wps:wsp>
                    <wps:cNvSpPr txBox="1"/>
                    <wps:spPr>
                      <a:xfrm>
                        <a:off x="0" y="0"/>
                        <a:ext cx="6858000" cy="640080"/>
                      </a:xfrm>
                      <a:prstGeom prst="rect"/>
                      <a:solidFill>
                        <a:srgbClr val="FFFFFF">
                          <a:alpha val="0"/>
                        </a:srgbClr>
                      </a:solidFill>
                    </wps:spPr>
                    <wps:txbx>
                      <w:txbxContent>
                        <w:p>
                          <w:pPr>
                            <w:pStyle w:val="LetterheadFooter"/>
                            <w:spacing w:lineRule="exact" w:line="240" w:before="60" w:after="0"/>
                            <w:ind w:start="1008" w:end="1008"/>
                            <w:rPr>
                              <w:spacing w:val="30"/>
                              <w:sz w:val="14"/>
                            </w:rPr>
                          </w:pPr>
                          <w:r>
                            <w:rPr>
                              <w:spacing w:val="30"/>
                              <w:sz w:val="14"/>
                            </w:rPr>
                          </w:r>
                          <w:bookmarkStart w:id="3" w:name="zzmpFIXED_LHFirstPageFooter"/>
                          <w:bookmarkStart w:id="4" w:name="zzmpFIXED_LHFirstPageFooter"/>
                          <w:bookmarkEnd w:id="4"/>
                        </w:p>
                      </w:txbxContent>
                    </wps:txbx>
                    <wps:bodyPr anchor="t" lIns="0" tIns="0" rIns="0" bIns="0">
                      <a:noAutofit/>
                    </wps:bodyPr>
                  </wps:wsp>
                </a:graphicData>
              </a:graphic>
            </wp:anchor>
          </w:drawing>
        </mc:Choice>
        <mc:Fallback>
          <w:pict>
            <v:rect fillcolor="#FFFFFF" style="position:absolute;rotation:-0;width:540pt;height:50.4pt;mso-wrap-distance-left:0pt;mso-wrap-distance-right:0pt;mso-wrap-distance-top:0pt;mso-wrap-distance-bottom:0pt;margin-top:729.4pt;mso-position-vertical-relative:page;margin-left:36pt;mso-position-horizontal:center;mso-position-horizontal-relative:page">
              <v:fill opacity="0f"/>
              <v:textbox inset="0in,0in,0in,0in">
                <w:txbxContent>
                  <w:p>
                    <w:pPr>
                      <w:pStyle w:val="LetterheadFooter"/>
                      <w:spacing w:lineRule="exact" w:line="240" w:before="60" w:after="0"/>
                      <w:ind w:start="1008" w:end="1008"/>
                      <w:rPr>
                        <w:spacing w:val="30"/>
                        <w:sz w:val="14"/>
                      </w:rPr>
                    </w:pPr>
                    <w:r>
                      <w:rPr>
                        <w:spacing w:val="30"/>
                        <w:sz w:val="14"/>
                      </w:rPr>
                    </w:r>
                    <w:bookmarkStart w:id="5" w:name="zzmpFIXED_LHFirstPageFooter"/>
                    <w:bookmarkStart w:id="6" w:name="zzmpFIXED_LHFirstPageFooter"/>
                    <w:bookmarkEnd w:id="6"/>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160"/>
      <w:rPr>
        <w:sz w:val="20"/>
        <w:lang w:val="en-CA" w:eastAsia="en-CA"/>
      </w:rPr>
    </w:pPr>
    <w:r>
      <w:rPr>
        <w:sz w:val="20"/>
        <w:lang w:val="en-CA" w:eastAsia="en-CA"/>
      </w:rPr>
      <mc:AlternateContent>
        <mc:Choice Requires="wpg">
          <w:drawing>
            <wp:anchor behindDoc="1" distT="0" distB="0" distL="114935" distR="114935" simplePos="0" locked="0" layoutInCell="1" allowOverlap="1" relativeHeight="3">
              <wp:simplePos x="0" y="0"/>
              <wp:positionH relativeFrom="column">
                <wp:posOffset>-594360</wp:posOffset>
              </wp:positionH>
              <wp:positionV relativeFrom="paragraph">
                <wp:posOffset>635</wp:posOffset>
              </wp:positionV>
              <wp:extent cx="6995160" cy="1330325"/>
              <wp:effectExtent l="0" t="0" r="0" b="0"/>
              <wp:wrapNone/>
              <wp:docPr id="3" name=""/>
              <a:graphic xmlns:a="http://schemas.openxmlformats.org/drawingml/2006/main">
                <a:graphicData uri="http://schemas.microsoft.com/office/word/2010/wordprocessingGroup">
                  <wpg:wgp>
                    <wpg:cNvGrpSpPr/>
                    <wpg:grpSpPr>
                      <a:xfrm>
                        <a:off x="0" y="0"/>
                        <a:ext cx="6995160" cy="1330200"/>
                        <a:chOff x="0" y="0"/>
                        <a:chExt cx="6995160" cy="1330200"/>
                      </a:xfrm>
                    </wpg:grpSpPr>
                    <wps:wsp>
                      <wps:cNvSpPr txBox="1"/>
                      <wps:spPr>
                        <a:xfrm>
                          <a:off x="365760" y="0"/>
                          <a:ext cx="6400800" cy="685800"/>
                        </a:xfrm>
                        <a:prstGeom prst="rect">
                          <a:avLst/>
                        </a:prstGeom>
                        <a:noFill/>
                        <a:ln w="0">
                          <a:noFill/>
                        </a:ln>
                      </wps:spPr>
                      <wps:bodyPr/>
                    </wps:wsp>
                    <wps:wsp>
                      <wps:cNvSpPr txBox="1"/>
                      <wps:spPr>
                        <a:xfrm>
                          <a:off x="5623560" y="758880"/>
                          <a:ext cx="1371600" cy="457200"/>
                        </a:xfrm>
                        <a:prstGeom prst="rect">
                          <a:avLst/>
                        </a:prstGeom>
                        <a:noFill/>
                        <a:ln w="0">
                          <a:noFill/>
                        </a:ln>
                      </wps:spPr>
                      <wps:bodyPr/>
                    </wps:wsp>
                    <wps:wsp>
                      <wps:cNvSpPr txBox="1"/>
                      <wps:spPr>
                        <a:xfrm>
                          <a:off x="0" y="758880"/>
                          <a:ext cx="2057400" cy="571680"/>
                        </a:xfrm>
                        <a:prstGeom prst="rect">
                          <a:avLst/>
                        </a:prstGeom>
                        <a:noFill/>
                        <a:ln w="0">
                          <a:noFill/>
                        </a:ln>
                      </wps:spPr>
                      <wps:txbx>
                        <w:txbxContent>
                          <w:p>
                            <w:pPr>
                              <w:overflowPunct w:val="false"/>
                              <w:bidi w:val="0"/>
                              <w:ind w:start="115" w:end="43" w:hanging="0"/>
                              <w:jc w:val="center"/>
                              <w:rPr/>
                            </w:pPr>
                            <w:r>
                              <w:rPr>
                                <w:kern w:val="2"/>
                                <w:rFonts w:cs="NotoSans NF" w:eastAsia="Liberation Sans" w:ascii="Liberation Serif" w:hAnsi="Liberation Serif"/>
                                <w:lang w:bidi="hi-IN" w:val="en-CA"/>
                              </w:rPr>
                            </w:r>
                          </w:p>
                          <w:p>
                            <w:pPr>
                              <w:overflowPunct w:val="false"/>
                              <w:bidi w:val="0"/>
                              <w:ind w:start="115" w:end="43" w:hanging="0"/>
                              <w:jc w:val="start"/>
                              <w:rPr/>
                            </w:pPr>
                            <w:r>
                              <w:rPr>
                                <w:kern w:val="2"/>
                                <w:rFonts w:cs="NotoSans NF" w:eastAsia="Liberation Sans" w:ascii="Liberation Serif" w:hAnsi="Liberation Serif"/>
                                <w:lang w:bidi="hi-IN" w:val="en-CA"/>
                              </w:rPr>
                            </w:r>
                          </w:p>
                        </w:txbxContent>
                      </wps:txbx>
                      <wps:bodyPr wrap="square" anchor="t">
                        <a:noAutofit/>
                      </wps:bodyPr>
                    </wps:wsp>
                  </wpg:wgp>
                </a:graphicData>
              </a:graphic>
            </wp:anchor>
          </w:drawing>
        </mc:Choice>
        <mc:Fallback>
          <w:pict>
            <v:group id="shape_0" style="position:absolute;margin-left:-46.8pt;margin-top:0pt;width:550.8pt;height:104.75pt" coordorigin="-936,0" coordsize="11016,2095">
              <v:shapetype id="_x0000_t202" coordsize="21600,21600" o:spt="202" path="m,l,21600l21600,21600l21600,xe">
                <v:stroke joinstyle="miter"/>
                <v:path gradientshapeok="t" o:connecttype="rect"/>
              </v:shapetype>
              <v:shape id="shape_0" stroked="f" o:allowincell="f" style="position:absolute;left:-360;top:0;width:10079;height:1079;mso-wrap-style:none;v-text-anchor:middle" type="_x0000_t202">
                <v:textbox>
                  <w:txbxContent>
                    <w:p>
                      <w:pPr>
                        <w:overflowPunct w:val="false"/>
                        <w:bidi w:val="0"/>
                        <w:jc w:val="center"/>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7920;top:1195;width:2159;height:719;mso-wrap-style:none;v-text-anchor:middle" type="_x0000_t202">
                <v:textbox>
                  <w:txbxContent>
                    <w:p>
                      <w:pPr>
                        <w:overflowPunct w:val="false"/>
                        <w:bidi w:val="0"/>
                        <w:ind w:start="115" w:end="43" w:hanging="0"/>
                        <w:jc w:val="start"/>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936;top:1195;width:3239;height:899;mso-wrap-style:square;v-text-anchor:top" type="_x0000_t202">
                <v:textbox>
                  <w:txbxContent>
                    <w:p>
                      <w:pPr>
                        <w:overflowPunct w:val="false"/>
                        <w:bidi w:val="0"/>
                        <w:ind w:start="115" w:end="43" w:hanging="0"/>
                        <w:jc w:val="center"/>
                        <w:rPr/>
                      </w:pPr>
                      <w:r>
                        <w:rPr>
                          <w:kern w:val="2"/>
                          <w:rFonts w:cs="NotoSans NF" w:eastAsia="Liberation Sans" w:ascii="Liberation Serif" w:hAnsi="Liberation Serif"/>
                          <w:lang w:bidi="hi-IN" w:val="en-CA"/>
                        </w:rPr>
                      </w:r>
                    </w:p>
                    <w:p>
                      <w:pPr>
                        <w:overflowPunct w:val="false"/>
                        <w:bidi w:val="0"/>
                        <w:ind w:start="115" w:end="43" w:hanging="0"/>
                        <w:jc w:val="start"/>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bookmarkStart w:id="1" w:name="zzmpFIXED_LHFirstPage"/>
    <w:bookmarkStart w:id="2" w:name="zzmpFIXED_LHFirstPage"/>
    <w:bookmarkEnd w:id="2"/>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docVars>
    <w:docVar w:name="bpfile" w:val="Letter.mbp"/>
    <w:docVar w:name="DocStamp_1_DocID" w:val="C:\NrPortbl\Docs\SHOWARD\545319_1.DOC"/>
    <w:docVar w:name="DocStamp_1_IncludeDate" w:val="False"/>
    <w:docVar w:name="DocStamp_1_IncludeDraftText" w:val="False"/>
    <w:docVar w:name="DocStamp_1_IncludeTime" w:val="False"/>
    <w:docVar w:name="DocStamp_1_InsertDateAsField" w:val="False"/>
    <w:docVar w:name="DocStamp_1_TypeID" w:val="2"/>
    <w:docVar w:name="DocXToolsFileType" w:val="Microsoft Word 2000"/>
    <w:docVar w:name="Letter_1_Alignment" w:val="0"/>
    <w:docVar w:name="Letter_1_Author" w:val="2231"/>
    <w:docVar w:name="Letter_1_AuthorFirmName" w:val="Alschuler Grossman Stein &amp; Kahan LLP"/>
    <w:docVar w:name="Letter_1_AuthorName" w:val="Steve Howard"/>
    <w:docVar w:name="Letter_1_AuthorTitle" w:val="Attorney At Law"/>
    <w:docVar w:name="Letter_1_ClosingPhrase" w:val="Sincerely,"/>
    <w:docVar w:name="Letter_1_DateType" w:val="mmmm d, yyyy"/>
    <w:docVar w:name="Letter_1_FirstLineIndent" w:val="1"/>
    <w:docVar w:name="Letter_1_FontName" w:val="Berkeley"/>
    <w:docVar w:name="Letter_1_FontSize" w:val="12"/>
    <w:docVar w:name="Letter_1_HeaderDeliveryPhrases" w:val="0"/>
    <w:docVar w:name="Letter_1_IncludeAuthorTitle" w:val="0"/>
    <w:docVar w:name="Letter_1_IncludeFirmName" w:val="0"/>
    <w:docVar w:name="Letter_1_Salutation" w:val="Dear :"/>
    <w:docVar w:name="LetterLH_1_Author" w:val="2231"/>
    <w:docVar w:name="LetterLH_1_IncludeLetterheadEMail" w:val="-1"/>
    <w:docVar w:name="LetterLH_1_IncludeLetterheadFax" w:val="0"/>
    <w:docVar w:name="LetterLH_1_IncludeLetterheadName" w:val="-1"/>
    <w:docVar w:name="LetterLH_1_IncludeLetterheadPhone" w:val="-1"/>
    <w:docVar w:name="LetterLH_1_IncludeLetterheadTitle" w:val="-1"/>
    <w:docVar w:name="LetterLH_1_LetterheadEMail" w:val="showard@agsk.com"/>
    <w:docVar w:name="LetterLH_1_LetterheadFirmFax" w:val="310-552-6077"/>
    <w:docVar w:name="LetterLH_1_LetterheadFirmName" w:val="Alschuler Grossman Stein &amp; Kahan LLP"/>
    <w:docVar w:name="LetterLH_1_LetterheadFirmPhone" w:val="310-277-1226"/>
    <w:docVar w:name="LetterLH_1_LetterheadFirmURL" w:val="www.sflaw.com"/>
    <w:docVar w:name="LetterLH_1_LetterheadName" w:val="Steve Howard"/>
    <w:docVar w:name="LetterLH_1_LetterheadPhone" w:val="310-407-7613"/>
    <w:docVar w:name="LetterLH_1_LetterheadTitle" w:val="Attorney At Law"/>
    <w:docVar w:name="LetterLH_1_LetterheadType" w:val="17"/>
    <w:docVar w:name="MPDocID" w:val="C:\NrPortbl\Docs\SHOWARD\545319_1.DOC"/>
    <w:docVar w:name="ReUseAuthor" w:val="2231|Howard, Steve|showard@agsk.com||Steve|Steve Howard||SXH|2091\California Bar ID\66247\True|True|Howard||1|310-407-7613|Attorney At Law"/>
    <w:docVar w:name="ReuseAuthorOptions" w:val="fldID??-99999999|fldLastEditTime??3/1/2000 4:58:47 PM|cmbLetterheadType??17|cmbDateType??mmmm d, yyyy|chkIncludeLetterheadName??-1|chkIncludeLetterheadPhone??-1|chkIncludeLetterheadEMail??-1|chkIncludeLetterheadTitle??-1|chkIncludeLetterheadFax??0|cmbClosingPhrases??Sincerely,|chkIncludeAuthorTitle??0|chkIncludeFirmName??0|cmbNormalFontName??Berkeley|spnNormalFontSize??12|cmbBodyTextAlignment??0|spnBodyTextFirstLineIndent??1"/>
    <w:docVar w:name="zzmpFixed_MacPacVersion" w:val="9.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rkeley" w:hAnsi="Berkeley" w:eastAsia="Times New Roman" w:cs="Berkeley"/>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auto" w:line="480" w:before="0" w:after="240"/>
      <w:ind w:firstLine="1440" w:start="0" w:end="0"/>
    </w:pPr>
    <w:rPr>
      <w:szCs w:val="20"/>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zCs w:val="20"/>
    </w:rPr>
  </w:style>
  <w:style w:type="paragraph" w:styleId="Quote">
    <w:name w:val="Quote"/>
    <w:basedOn w:val="Normal"/>
    <w:next w:val="BodyTextContinued"/>
    <w:qFormat/>
    <w:pPr>
      <w:spacing w:before="0" w:after="240"/>
      <w:ind w:hanging="0" w:start="1440" w:end="144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zCs w:val="20"/>
    </w:rPr>
  </w:style>
  <w:style w:type="paragraph" w:styleId="Footer">
    <w:name w:val="footer"/>
    <w:basedOn w:val="Normal"/>
    <w:pPr>
      <w:tabs>
        <w:tab w:val="clear" w:pos="720"/>
        <w:tab w:val="center" w:pos="4680" w:leader="none"/>
        <w:tab w:val="right" w:pos="9360" w:leader="none"/>
      </w:tabs>
    </w:pPr>
    <w:rPr>
      <w:szCs w:val="20"/>
    </w:rPr>
  </w:style>
  <w:style w:type="paragraph" w:styleId="Letterhead">
    <w:name w:val="Letterhead"/>
    <w:qFormat/>
    <w:pPr>
      <w:widowControl/>
      <w:bidi w:val="0"/>
      <w:jc w:val="center"/>
    </w:pPr>
    <w:rPr>
      <w:rFonts w:ascii="Berkeley" w:hAnsi="Berkeley" w:eastAsia="Times New Roman" w:cs="Berkeley"/>
      <w:caps/>
      <w:color w:val="auto"/>
      <w:spacing w:val="2"/>
      <w:sz w:val="16"/>
      <w:szCs w:val="20"/>
      <w:lang w:val="en-US" w:eastAsia="en-CA" w:bidi="ar-SA"/>
    </w:rPr>
  </w:style>
  <w:style w:type="paragraph" w:styleId="DeliveryPhrase">
    <w:name w:val="Delivery Phrase"/>
    <w:basedOn w:val="Normal"/>
    <w:next w:val="EnvelopeAddress"/>
    <w:qFormat/>
    <w:pPr>
      <w:spacing w:before="0" w:after="240"/>
    </w:pPr>
    <w:rPr>
      <w:b/>
      <w:smallCaps/>
      <w:szCs w:val="20"/>
    </w:rPr>
  </w:style>
  <w:style w:type="paragraph" w:styleId="LetterDate">
    <w:name w:val="Letter Date"/>
    <w:basedOn w:val="Normal"/>
    <w:next w:val="BodyText"/>
    <w:qFormat/>
    <w:pPr/>
    <w:rPr>
      <w:szCs w:val="20"/>
    </w:rPr>
  </w:style>
  <w:style w:type="paragraph" w:styleId="EnvelopeAddress">
    <w:name w:val="envelope address"/>
    <w:basedOn w:val="Normal"/>
    <w:next w:val="Normal"/>
    <w:pPr/>
    <w:rPr>
      <w:szCs w:val="20"/>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720" w:end="0"/>
    </w:pPr>
    <w:rPr>
      <w:szCs w:val="20"/>
    </w:rPr>
  </w:style>
  <w:style w:type="paragraph" w:styleId="Salutation">
    <w:name w:val="Salutation"/>
    <w:basedOn w:val="Normal"/>
    <w:next w:val="BodyText"/>
    <w:qFormat/>
    <w:pPr>
      <w:spacing w:before="240" w:after="240"/>
    </w:pPr>
    <w:rPr>
      <w:szCs w:val="20"/>
    </w:rPr>
  </w:style>
  <w:style w:type="paragraph" w:styleId="LetterheadAuthor">
    <w:name w:val="Letterhead Author"/>
    <w:basedOn w:val="Letterhead"/>
    <w:qFormat/>
    <w:pPr>
      <w:ind w:hanging="0" w:start="115" w:end="43"/>
    </w:pPr>
    <w:rPr>
      <w:smallCaps/>
    </w:rPr>
  </w:style>
  <w:style w:type="paragraph" w:styleId="LetterSignatureSub">
    <w:name w:val="Letter Signature Sub"/>
    <w:basedOn w:val="LetterSignature"/>
    <w:qFormat/>
    <w:pPr>
      <w:spacing w:before="240" w:after="0"/>
      <w:ind w:hanging="720" w:start="720" w:end="0"/>
    </w:pPr>
    <w:rPr/>
  </w:style>
  <w:style w:type="paragraph" w:styleId="LetterheadFooter">
    <w:name w:val="Letterhead Footer"/>
    <w:basedOn w:val="Letterhead"/>
    <w:qFormat/>
    <w:pPr>
      <w:tabs>
        <w:tab w:val="clear" w:pos="720"/>
        <w:tab w:val="center" w:pos="1886" w:leader="none"/>
      </w:tabs>
    </w:pPr>
    <w:rPr>
      <w:spacing w:val="10"/>
    </w:rPr>
  </w:style>
  <w:style w:type="paragraph" w:styleId="FootnoteText">
    <w:name w:val="footnote text"/>
    <w:basedOn w:val="Normal"/>
    <w:pPr/>
    <w:rPr>
      <w:sz w:val="20"/>
      <w:szCs w:val="20"/>
    </w:rPr>
  </w:style>
  <w:style w:type="paragraph" w:styleId="EndnoteText">
    <w:name w:val="endnote text"/>
    <w:basedOn w:val="Normal"/>
    <w:pPr/>
    <w:rPr>
      <w:sz w:val="20"/>
      <w:szCs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lineRule="auto" w:line="240" w:before="0" w:after="120"/>
      <w:ind w:firstLine="210" w:start="0" w:end="0"/>
    </w:pPr>
    <w:rPr>
      <w:szCs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1">
    <w:name w:val="Envelope Address1"/>
    <w:basedOn w:val="Normal"/>
    <w:qFormat/>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rFonts w:ascii="Times New Roman" w:hAnsi="Times New Roman" w:cs="Times New Roman"/>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2001-04-16T22:36:00Z</dcterms:created>
  <dc:creator>IS</dc:creator>
  <dc:description/>
  <dc:language>en-CA</dc:language>
  <cp:lastModifiedBy>Default</cp:lastModifiedBy>
  <cp:lastPrinted>2001-01-29T16:18:00Z</cp:lastPrinted>
  <dcterms:modified xsi:type="dcterms:W3CDTF">2001-04-16T22:36:00Z</dcterms:modified>
  <cp:revision>2</cp:revision>
  <dc:subject/>
  <dc:title>January 2, 2001</dc:title>
</cp:coreProperties>
</file>