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t>SUPPLEMENT</w:t>
      </w:r>
    </w:p>
    <w:p>
      <w:pPr>
        <w:pStyle w:val="Normal"/>
        <w:jc w:val="center"/>
        <w:rPr>
          <w:rFonts w:ascii="Arial" w:hAnsi="Arial" w:cs="Arial"/>
        </w:rPr>
      </w:pPr>
      <w:r>
        <w:rPr>
          <w:rFonts w:cs="Arial" w:ascii="Arial" w:hAnsi="Arial"/>
        </w:rPr>
        <w:t>to the</w:t>
      </w:r>
    </w:p>
    <w:p>
      <w:pPr>
        <w:pStyle w:val="Normal"/>
        <w:jc w:val="center"/>
        <w:rPr>
          <w:rFonts w:ascii="Arial" w:hAnsi="Arial" w:cs="Arial"/>
        </w:rPr>
      </w:pPr>
      <w:r>
        <w:rPr>
          <w:rFonts w:cs="Arial" w:ascii="Arial" w:hAnsi="Arial"/>
        </w:rPr>
        <w:t>MASTER POWER PURCHASE &amp; SALE AGREEMENT</w:t>
      </w:r>
    </w:p>
    <w:p>
      <w:pPr>
        <w:pStyle w:val="Normal"/>
        <w:jc w:val="center"/>
        <w:rPr>
          <w:rFonts w:ascii="Arial" w:hAnsi="Arial" w:cs="Arial"/>
        </w:rPr>
      </w:pPr>
      <w:r>
        <w:rPr>
          <w:rFonts w:cs="Arial" w:ascii="Arial" w:hAnsi="Arial"/>
        </w:rPr>
        <w:t xml:space="preserve">between  </w:t>
      </w:r>
    </w:p>
    <w:p>
      <w:pPr>
        <w:pStyle w:val="Normal"/>
        <w:jc w:val="center"/>
        <w:rPr>
          <w:rFonts w:ascii="Arial" w:hAnsi="Arial" w:cs="Arial"/>
        </w:rPr>
      </w:pPr>
      <w:r>
        <w:rPr>
          <w:rFonts w:cs="Arial" w:ascii="Arial" w:hAnsi="Arial"/>
        </w:rPr>
        <w:t>ENGAGE ENERGY AMERICA LLC</w:t>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t>ENRON POWER MARKETING, INC.</w:t>
      </w:r>
    </w:p>
    <w:p>
      <w:pPr>
        <w:pStyle w:val="Normal"/>
        <w:jc w:val="center"/>
        <w:rPr>
          <w:rFonts w:ascii="Arial" w:hAnsi="Arial" w:cs="Arial"/>
        </w:rPr>
      </w:pPr>
      <w:r>
        <w:rPr>
          <w:rFonts w:cs="Arial" w:ascii="Arial" w:hAnsi="Arial"/>
        </w:rPr>
        <w:t xml:space="preserve">dated:                 </w:t>
      </w:r>
    </w:p>
    <w:p>
      <w:pPr>
        <w:pStyle w:val="Normal"/>
        <w:jc w:val="center"/>
        <w:rPr>
          <w:rFonts w:ascii="Arial" w:hAnsi="Arial" w:cs="Arial"/>
        </w:rPr>
      </w:pPr>
      <w:r>
        <w:rPr>
          <w:rFonts w:cs="Arial" w:ascii="Arial" w:hAnsi="Arial"/>
        </w:rPr>
      </w:r>
    </w:p>
    <w:p>
      <w:pPr>
        <w:pStyle w:val="Normal"/>
        <w:numPr>
          <w:ilvl w:val="0"/>
          <w:numId w:val="1"/>
        </w:numPr>
        <w:jc w:val="both"/>
        <w:rPr>
          <w:rFonts w:ascii="Arial" w:hAnsi="Arial" w:cs="Arial"/>
          <w:b/>
          <w:bCs/>
        </w:rPr>
      </w:pPr>
      <w:r>
        <w:rPr>
          <w:rFonts w:cs="Arial" w:ascii="Arial" w:hAnsi="Arial"/>
        </w:rPr>
        <w:t>[This Supplement is part of, and where applicable, amends the Master Power Purchase &amp; Sale Agreement between Engage Energy America LLC and Enron Power Marketing Inc. dated                             (“Base Contract”).]</w:t>
      </w:r>
      <w:r>
        <w:rPr>
          <w:rFonts w:cs="Arial" w:ascii="Arial" w:hAnsi="Arial"/>
          <w:i/>
          <w:iCs/>
        </w:rPr>
        <w:t xml:space="preserve"> </w:t>
      </w:r>
      <w:r>
        <w:rPr>
          <w:b/>
          <w:bCs/>
          <w:i/>
          <w:iCs/>
        </w:rPr>
        <w:t>Using the EEI Master’s structure of including these additional provisions as part of the Master, we believe that this provision would not be needed.</w:t>
      </w:r>
    </w:p>
    <w:p>
      <w:pPr>
        <w:pStyle w:val="Normal"/>
        <w:ind w:firstLine="360" w:end="0"/>
        <w:jc w:val="both"/>
        <w:rPr>
          <w:rFonts w:ascii="Arial" w:hAnsi="Arial" w:cs="Arial"/>
          <w:b/>
          <w:bCs/>
        </w:rPr>
      </w:pPr>
      <w:r>
        <w:rPr>
          <w:rFonts w:cs="Arial" w:ascii="Arial" w:hAnsi="Arial"/>
          <w:b/>
          <w:bCs/>
        </w:rPr>
      </w:r>
    </w:p>
    <w:p>
      <w:pPr>
        <w:pStyle w:val="Normal"/>
        <w:rPr>
          <w:rFonts w:ascii="Arial" w:hAnsi="Arial" w:cs="Arial"/>
        </w:rPr>
      </w:pPr>
      <w:r>
        <w:rPr>
          <w:rFonts w:cs="Arial" w:ascii="Arial" w:hAnsi="Arial"/>
        </w:rPr>
      </w:r>
    </w:p>
    <w:p>
      <w:pPr>
        <w:pStyle w:val="Normal"/>
        <w:numPr>
          <w:ilvl w:val="0"/>
          <w:numId w:val="1"/>
        </w:numPr>
        <w:jc w:val="both"/>
        <w:rPr>
          <w:rFonts w:ascii="Arial" w:hAnsi="Arial" w:cs="Arial"/>
          <w:b/>
          <w:bCs/>
        </w:rPr>
      </w:pPr>
      <w:r>
        <w:rPr>
          <w:rFonts w:cs="Arial" w:ascii="Arial" w:hAnsi="Arial"/>
        </w:rPr>
        <w:t xml:space="preserve">[If the terms of this Supplement conflict with the General Terms and Conditions of the Base Contract, then the terms of this Supplement shall prevail.  Any definitions used in the Base Contract shall have the same meaning in this Supplement.]  </w:t>
      </w:r>
      <w:r>
        <w:rPr>
          <w:b/>
          <w:bCs/>
          <w:i/>
          <w:iCs/>
        </w:rPr>
        <w:t>Using the EEI Master’s structure of including these additional provisions as part of the Master, we believe that this provision would not be needed.</w:t>
      </w:r>
    </w:p>
    <w:p>
      <w:pPr>
        <w:pStyle w:val="Normal"/>
        <w:jc w:val="both"/>
        <w:rPr>
          <w:rFonts w:ascii="Arial" w:hAnsi="Arial" w:cs="Arial"/>
          <w:b/>
          <w:bCs/>
        </w:rPr>
      </w:pPr>
      <w:r>
        <w:rPr>
          <w:rFonts w:cs="Arial" w:ascii="Arial" w:hAnsi="Arial"/>
          <w:b/>
          <w:bCs/>
        </w:rPr>
      </w:r>
    </w:p>
    <w:p>
      <w:pPr>
        <w:pStyle w:val="Normal"/>
        <w:numPr>
          <w:ilvl w:val="0"/>
          <w:numId w:val="1"/>
        </w:numPr>
        <w:jc w:val="both"/>
        <w:rPr>
          <w:b/>
          <w:bCs/>
        </w:rPr>
      </w:pPr>
      <w:r>
        <w:rPr>
          <w:rFonts w:cs="Arial" w:ascii="Arial" w:hAnsi="Arial"/>
        </w:rPr>
        <w:t xml:space="preserve">Any reference to a “Section” in this Supplement refers to a Section of the General Terms and Conditions of the Base Contract.  </w:t>
      </w:r>
      <w:r>
        <w:rPr>
          <w:b/>
          <w:bCs/>
          <w:i/>
          <w:iCs/>
        </w:rPr>
        <w:t>Using the EEI Master’s structure of including these additional provisions as part of the Master, we believe that this provision would not be needed.</w:t>
      </w:r>
    </w:p>
    <w:p>
      <w:pPr>
        <w:pStyle w:val="Normal"/>
        <w:jc w:val="both"/>
        <w:rPr>
          <w:rFonts w:ascii="Arial" w:hAnsi="Arial" w:cs="Arial"/>
          <w:b/>
          <w:bCs/>
        </w:rPr>
      </w:pPr>
      <w:r>
        <w:rPr>
          <w:rFonts w:cs="Arial" w:ascii="Arial" w:hAnsi="Arial"/>
          <w:b/>
          <w:bCs/>
        </w:rPr>
      </w:r>
    </w:p>
    <w:p>
      <w:pPr>
        <w:pStyle w:val="Normal"/>
        <w:jc w:val="both"/>
        <w:rPr>
          <w:rFonts w:ascii="Arial" w:hAnsi="Arial" w:cs="Arial"/>
        </w:rPr>
      </w:pPr>
      <w:r>
        <w:rPr>
          <w:rFonts w:cs="Arial" w:ascii="Arial" w:hAnsi="Arial"/>
        </w:rPr>
      </w:r>
    </w:p>
    <w:p>
      <w:pPr>
        <w:pStyle w:val="Normal"/>
        <w:numPr>
          <w:ilvl w:val="0"/>
          <w:numId w:val="1"/>
        </w:numPr>
        <w:jc w:val="both"/>
        <w:rPr>
          <w:rFonts w:ascii="Arial" w:hAnsi="Arial" w:cs="Arial"/>
        </w:rPr>
      </w:pPr>
      <w:r>
        <w:rPr>
          <w:rFonts w:cs="Arial" w:ascii="Arial" w:hAnsi="Arial"/>
        </w:rPr>
        <w:t xml:space="preserve">[In Section 2.4, the phrase “either orally or” in the seventh line of the Section shall be deleted.]  </w:t>
      </w:r>
      <w:r>
        <w:rPr>
          <w:b/>
          <w:bCs/>
          <w:i/>
          <w:iCs/>
        </w:rPr>
        <w:t>We believe that allowing additional terms in a confirmation is critical to transacting under the Master, and we ask that you reconsider this provision as well as the Cover Sheet selection.  Also, see ISDA sec. 5(e).</w:t>
      </w:r>
    </w:p>
    <w:p>
      <w:pPr>
        <w:pStyle w:val="Normal"/>
        <w:jc w:val="both"/>
        <w:rPr>
          <w:rFonts w:ascii="Arial" w:hAnsi="Arial" w:cs="Arial"/>
        </w:rPr>
      </w:pPr>
      <w:r>
        <w:rPr>
          <w:rFonts w:cs="Arial" w:ascii="Arial" w:hAnsi="Arial"/>
        </w:rPr>
      </w:r>
    </w:p>
    <w:p>
      <w:pPr>
        <w:pStyle w:val="Normal"/>
        <w:numPr>
          <w:ilvl w:val="0"/>
          <w:numId w:val="1"/>
        </w:numPr>
        <w:jc w:val="both"/>
        <w:rPr>
          <w:b/>
          <w:bCs/>
          <w:i/>
          <w:i/>
          <w:iCs/>
        </w:rPr>
      </w:pPr>
      <w:r>
        <w:rPr>
          <w:rFonts w:cs="Arial" w:ascii="Arial" w:hAnsi="Arial"/>
        </w:rPr>
        <w:t xml:space="preserve">Section 2.5 shall be amended by deleting the following phrase from the first sentence:  “Unless a Party expressly objects to a Recording (defined below) at the beginning of a telephone conversation”. </w:t>
      </w:r>
      <w:r>
        <w:rPr>
          <w:b/>
          <w:bCs/>
          <w:i/>
          <w:iCs/>
        </w:rPr>
        <w:t>We agree, and this is consistent with ISDA sec. 5(f).</w:t>
      </w:r>
    </w:p>
    <w:p>
      <w:pPr>
        <w:pStyle w:val="Normal"/>
        <w:jc w:val="both"/>
        <w:rPr>
          <w:rFonts w:ascii="Arial" w:hAnsi="Arial" w:cs="Arial"/>
          <w:b/>
          <w:bCs/>
          <w:i/>
          <w:i/>
          <w:iCs/>
        </w:rPr>
      </w:pPr>
      <w:r>
        <w:rPr>
          <w:rFonts w:cs="Arial" w:ascii="Arial" w:hAnsi="Arial"/>
          <w:b/>
          <w:bCs/>
          <w:i/>
          <w:iCs/>
        </w:rPr>
      </w:r>
    </w:p>
    <w:p>
      <w:pPr>
        <w:pStyle w:val="Normal"/>
        <w:numPr>
          <w:ilvl w:val="0"/>
          <w:numId w:val="1"/>
        </w:numPr>
        <w:jc w:val="both"/>
        <w:rPr/>
      </w:pPr>
      <w:r>
        <w:rPr>
          <w:rFonts w:cs="Arial" w:ascii="Arial" w:hAnsi="Arial"/>
        </w:rPr>
        <w:t xml:space="preserve">Section 3.3 shall be deleted in its entirety and replaced with the following: </w:t>
      </w:r>
    </w:p>
    <w:p>
      <w:pPr>
        <w:pStyle w:val="Normal"/>
        <w:jc w:val="both"/>
        <w:rPr>
          <w:rFonts w:ascii="Arial" w:hAnsi="Arial" w:cs="Arial"/>
        </w:rPr>
      </w:pPr>
      <w:r>
        <w:rPr>
          <w:rFonts w:cs="Arial" w:ascii="Arial" w:hAnsi="Arial"/>
        </w:rPr>
      </w:r>
    </w:p>
    <w:p>
      <w:pPr>
        <w:pStyle w:val="BodyTextIndent"/>
        <w:rPr/>
      </w:pPr>
      <w:r>
        <w:rPr/>
        <w:t>“</w:t>
      </w:r>
      <w:r>
        <w:rPr/>
        <w:t>To the extent either Party is prevented by Force Majeure from carrying out, in whole or in part, its obligations under the Transaction and such Party (the “Claiming Party”) [gives first prompt oral, and then]</w:t>
      </w:r>
      <w:r>
        <w:rPr>
          <w:u w:val="single"/>
        </w:rPr>
        <w:t xml:space="preserve"> notifies the other Party by telephone as soon as reasonably practicable, followed by a</w:t>
      </w:r>
      <w:r>
        <w:rPr/>
        <w:t xml:space="preserve"> written notice [and] </w:t>
      </w:r>
      <w:r>
        <w:rPr>
          <w:u w:val="single"/>
        </w:rPr>
        <w:t>giving</w:t>
      </w:r>
      <w:r>
        <w:rPr/>
        <w:t xml:space="preserve">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[use commercially reasonable efforts to] remedy the Force Majeure with all reasonable dispatch.  The non-Claiming Party shall not be required to perform or resume performance of its obligations to the Claiming Party corresponding to the obligations of the Claiming Party excused by Force Majeure. Both Parties shall be required to resume performance when the Force Majeure has ended.” </w:t>
      </w:r>
      <w:r>
        <w:rPr>
          <w:rFonts w:cs="Times New Roman" w:ascii="Times New Roman" w:hAnsi="Times New Roman"/>
          <w:b/>
          <w:bCs/>
          <w:i/>
          <w:iCs/>
        </w:rPr>
        <w:t>Please consider the revisions we have suggested.  We deleted your additional language in the second sentence because we believe it creates a redundancy that might confuse the issue at some point.</w:t>
      </w:r>
    </w:p>
    <w:p>
      <w:pPr>
        <w:pStyle w:val="Normal"/>
        <w:jc w:val="both"/>
        <w:rPr>
          <w:rFonts w:ascii="Times New Roman" w:hAnsi="Times New Roman" w:cs="Times New Roman"/>
          <w:b/>
          <w:bCs/>
          <w:i/>
          <w:i/>
          <w:iCs/>
        </w:rPr>
      </w:pPr>
      <w:r>
        <w:rPr>
          <w:rFonts w:cs="Times New Roman"/>
          <w:b/>
          <w:bCs/>
          <w:i/>
          <w:iCs/>
        </w:rPr>
      </w:r>
    </w:p>
    <w:p>
      <w:pPr>
        <w:pStyle w:val="Normal"/>
        <w:numPr>
          <w:ilvl w:val="0"/>
          <w:numId w:val="1"/>
        </w:numPr>
        <w:jc w:val="both"/>
        <w:rPr/>
      </w:pPr>
      <w:r>
        <w:rPr>
          <w:rFonts w:cs="Arial" w:ascii="Arial" w:hAnsi="Arial"/>
        </w:rPr>
        <w:t xml:space="preserve">In Section 5.7, the phrase “(a) an Event of Default or (b) a Potential Event of Default” shall be amended by deleting the reference to “a Potential Event of Default”, so that the phrase shall now read  “an Event of Default”. </w:t>
      </w:r>
      <w:r>
        <w:rPr/>
        <w:t xml:space="preserve"> </w:t>
      </w:r>
      <w:r>
        <w:rPr>
          <w:b/>
          <w:bCs/>
          <w:i/>
          <w:iCs/>
        </w:rPr>
        <w:t>We believe it is appropriate to allow both parties to suspend performance upon a Potential Event of Default, rather than having to wait until an Event of Default occurs.</w:t>
      </w:r>
    </w:p>
    <w:p>
      <w:pPr>
        <w:pStyle w:val="Normal"/>
        <w:jc w:val="both"/>
        <w:rPr/>
      </w:pPr>
      <w:r>
        <w:rPr/>
      </w:r>
    </w:p>
    <w:p>
      <w:pPr>
        <w:pStyle w:val="Normal"/>
        <w:numPr>
          <w:ilvl w:val="0"/>
          <w:numId w:val="1"/>
        </w:numPr>
        <w:jc w:val="both"/>
        <w:rPr/>
      </w:pPr>
      <w:r>
        <w:rPr>
          <w:rFonts w:cs="Arial" w:ascii="Arial" w:hAnsi="Arial"/>
        </w:rPr>
        <w:t>[In Sections 6.3, 10.8, and 10.9, all references to “twelve (12) months” shall amended to read “twenty-four (24) months”.]</w:t>
      </w:r>
      <w:r>
        <w:rPr>
          <w:b/>
          <w:bCs/>
          <w:i/>
          <w:iCs/>
        </w:rPr>
        <w:t xml:space="preserve">  Complying with the request to extend these periods to 24 months would not be consistent with our document retention policies.</w:t>
      </w:r>
    </w:p>
    <w:p>
      <w:pPr>
        <w:pStyle w:val="Normal"/>
        <w:jc w:val="both"/>
        <w:rPr/>
      </w:pPr>
      <w:r>
        <w:rPr/>
      </w:r>
    </w:p>
    <w:p>
      <w:pPr>
        <w:pStyle w:val="Normal"/>
        <w:numPr>
          <w:ilvl w:val="0"/>
          <w:numId w:val="1"/>
        </w:numPr>
        <w:jc w:val="both"/>
        <w:rPr/>
      </w:pPr>
      <w:r>
        <w:rPr>
          <w:rFonts w:cs="Arial" w:ascii="Arial" w:hAnsi="Arial"/>
        </w:rPr>
        <w:t xml:space="preserve">In Section 10.5, the first clause shall be amended from “Neither Party shall assign this Agreement or its rights hereunder without the prior written consent of the other Party, which consent may be withheld in the exercise of its sole discretion;” to now read: “Neither Party shall assign this Agreement or its rights hereunder without the prior written consent of the other Party, which consent shall not be unreasonably withheld;” </w:t>
      </w:r>
      <w:r>
        <w:rPr>
          <w:b/>
          <w:bCs/>
          <w:i/>
          <w:iCs/>
        </w:rPr>
        <w:t>We propose that we conform all the master agreements between the parties on this issue and suggest using the language in ISDA sec. 5(j).</w:t>
      </w:r>
    </w:p>
    <w:p>
      <w:pPr>
        <w:pStyle w:val="Normal"/>
        <w:jc w:val="both"/>
        <w:rPr/>
      </w:pPr>
      <w:r>
        <w:rPr/>
      </w:r>
    </w:p>
    <w:p>
      <w:pPr>
        <w:pStyle w:val="Normal"/>
        <w:numPr>
          <w:ilvl w:val="0"/>
          <w:numId w:val="1"/>
        </w:numPr>
        <w:jc w:val="both"/>
        <w:rPr/>
      </w:pPr>
      <w:r>
        <w:rPr>
          <w:rFonts w:cs="Arial" w:ascii="Arial" w:hAnsi="Arial"/>
        </w:rPr>
        <w:t xml:space="preserve">In Section 10.7, the third sentence shall be deleted and replaced with the following: “Notice by facsimile or hand delivery shall be effective at the close of business on the day actually received, if received prior to 4 p.m. on a Business Day, and otherwise shall be effective [at the close of business] on the next Business Day.” </w:t>
      </w:r>
      <w:r>
        <w:rPr>
          <w:b/>
          <w:bCs/>
          <w:i/>
          <w:iCs/>
        </w:rPr>
        <w:t xml:space="preserve">We would like to inquire the reason for these changes, especially the additional delay to effectiveness of notice until the close of business on the next Business Day.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tabs>
          <w:tab w:val="clear" w:pos="720"/>
          <w:tab w:val="left" w:pos="5040" w:leader="none"/>
          <w:tab w:val="left" w:pos="6660" w:leader="none"/>
        </w:tabs>
        <w:ind w:end="-720"/>
        <w:rPr>
          <w:rFonts w:ascii="Arial" w:hAnsi="Arial" w:cs="Arial"/>
        </w:rPr>
      </w:pPr>
      <w:r>
        <w:rPr>
          <w:rFonts w:cs="Arial" w:ascii="Arial" w:hAnsi="Arial"/>
          <w:b/>
        </w:rPr>
        <w:t>[ENGAGE ENERGY AMERICA LLC</w:t>
        <w:tab/>
        <w:t>ENRON POWER MARKETING, INC.</w:t>
      </w:r>
    </w:p>
    <w:p>
      <w:pPr>
        <w:pStyle w:val="Normal"/>
        <w:tabs>
          <w:tab w:val="clear" w:pos="720"/>
          <w:tab w:val="left" w:pos="3960" w:leader="none"/>
          <w:tab w:val="left" w:pos="5040" w:leader="none"/>
          <w:tab w:val="left" w:pos="6660" w:leader="none"/>
        </w:tabs>
        <w:jc w:val="both"/>
        <w:rPr/>
      </w:pPr>
      <w:r>
        <w:rPr>
          <w:rFonts w:cs="Arial" w:ascii="Arial" w:hAnsi="Arial"/>
        </w:rPr>
        <w:t>(“</w:t>
      </w:r>
      <w:r>
        <w:rPr>
          <w:rFonts w:cs="Arial" w:ascii="Arial" w:hAnsi="Arial"/>
          <w:b/>
        </w:rPr>
        <w:t>Engage</w:t>
      </w:r>
      <w:r>
        <w:rPr>
          <w:rFonts w:cs="Arial" w:ascii="Arial" w:hAnsi="Arial"/>
        </w:rPr>
        <w:t>”)</w:t>
        <w:tab/>
        <w:tab/>
        <w:t>("</w:t>
      </w:r>
      <w:r>
        <w:rPr>
          <w:rFonts w:cs="Arial" w:ascii="Arial" w:hAnsi="Arial"/>
          <w:b/>
        </w:rPr>
        <w:t>Customer</w:t>
      </w:r>
      <w:r>
        <w:rPr>
          <w:rFonts w:cs="Arial" w:ascii="Arial" w:hAnsi="Arial"/>
        </w:rPr>
        <w:t>")</w:t>
      </w:r>
    </w:p>
    <w:p>
      <w:pPr>
        <w:pStyle w:val="Normal"/>
        <w:tabs>
          <w:tab w:val="clear" w:pos="720"/>
          <w:tab w:val="left" w:pos="3960" w:leader="none"/>
          <w:tab w:val="left" w:pos="5040" w:leader="none"/>
          <w:tab w:val="left" w:pos="6660" w:leader="none"/>
        </w:tabs>
        <w:jc w:val="both"/>
        <w:rPr>
          <w:rFonts w:ascii="Arial" w:hAnsi="Arial" w:cs="Arial"/>
        </w:rPr>
      </w:pPr>
      <w:r>
        <w:rPr>
          <w:rFonts w:cs="Arial" w:ascii="Arial" w:hAnsi="Arial"/>
        </w:rPr>
      </w:r>
    </w:p>
    <w:p>
      <w:pPr>
        <w:pStyle w:val="Normal"/>
        <w:tabs>
          <w:tab w:val="clear" w:pos="720"/>
          <w:tab w:val="left" w:pos="3960" w:leader="none"/>
          <w:tab w:val="left" w:pos="4410" w:leader="none"/>
          <w:tab w:val="left" w:pos="5040" w:leader="none"/>
          <w:tab w:val="left" w:pos="6660" w:leader="none"/>
        </w:tabs>
        <w:jc w:val="both"/>
        <w:rPr>
          <w:rFonts w:ascii="Arial" w:hAnsi="Arial" w:cs="Arial"/>
        </w:rPr>
      </w:pPr>
      <w:r>
        <w:rPr>
          <w:rFonts w:cs="Arial" w:ascii="Arial" w:hAnsi="Arial"/>
          <w:u w:val="single"/>
        </w:rPr>
        <w:tab/>
      </w:r>
      <w:r>
        <w:rPr>
          <w:rFonts w:cs="Arial" w:ascii="Arial" w:hAnsi="Arial"/>
        </w:rPr>
        <w:tab/>
        <w:tab/>
      </w:r>
      <w:r>
        <w:rPr>
          <w:rFonts w:cs="Arial" w:ascii="Arial" w:hAnsi="Arial"/>
          <w:u w:val="single"/>
        </w:rPr>
        <w:tab/>
        <w:tab/>
        <w:tab/>
        <w:tab/>
      </w:r>
    </w:p>
    <w:p>
      <w:pPr>
        <w:pStyle w:val="Normal"/>
        <w:tabs>
          <w:tab w:val="clear" w:pos="720"/>
          <w:tab w:val="left" w:pos="3960" w:leader="none"/>
        </w:tabs>
        <w:jc w:val="both"/>
        <w:rPr>
          <w:rFonts w:ascii="Arial" w:hAnsi="Arial" w:cs="Arial"/>
        </w:rPr>
      </w:pPr>
      <w:r>
        <w:rPr>
          <w:rFonts w:cs="Arial" w:ascii="Arial" w:hAnsi="Arial"/>
        </w:rPr>
        <w:t>Authorized Representative</w:t>
        <w:tab/>
        <w:tab/>
        <w:tab/>
        <w:t>Authorized Representative</w:t>
      </w:r>
    </w:p>
    <w:p>
      <w:pPr>
        <w:pStyle w:val="Normal"/>
        <w:tabs>
          <w:tab w:val="clear" w:pos="720"/>
          <w:tab w:val="left" w:pos="3960" w:leader="none"/>
        </w:tabs>
        <w:jc w:val="both"/>
        <w:rPr>
          <w:rFonts w:ascii="Arial" w:hAnsi="Arial" w:cs="Arial"/>
        </w:rPr>
      </w:pPr>
      <w:r>
        <w:rPr>
          <w:rFonts w:cs="Arial" w:ascii="Arial" w:hAnsi="Arial"/>
        </w:rPr>
      </w:r>
    </w:p>
    <w:p>
      <w:pPr>
        <w:pStyle w:val="Normal"/>
        <w:tabs>
          <w:tab w:val="clear" w:pos="720"/>
          <w:tab w:val="left" w:pos="3960" w:leader="none"/>
        </w:tabs>
        <w:jc w:val="both"/>
        <w:rPr>
          <w:rFonts w:ascii="Arial" w:hAnsi="Arial" w:cs="Arial"/>
        </w:rPr>
      </w:pPr>
      <w:r>
        <w:rPr>
          <w:rFonts w:cs="Arial" w:ascii="Arial" w:hAnsi="Arial"/>
          <w:u w:val="single"/>
        </w:rPr>
        <w:tab/>
      </w:r>
      <w:r>
        <w:rPr>
          <w:rFonts w:cs="Arial" w:ascii="Arial" w:hAnsi="Arial"/>
        </w:rPr>
        <w:tab/>
        <w:tab/>
      </w:r>
      <w:r>
        <w:rPr>
          <w:rFonts w:cs="Arial" w:ascii="Arial" w:hAnsi="Arial"/>
          <w:u w:val="single"/>
        </w:rPr>
        <w:tab/>
        <w:tab/>
        <w:tab/>
        <w:tab/>
        <w:tab/>
      </w:r>
    </w:p>
    <w:p>
      <w:pPr>
        <w:pStyle w:val="Normal"/>
        <w:tabs>
          <w:tab w:val="left" w:pos="720" w:leader="none"/>
          <w:tab w:val="left" w:pos="5040" w:leader="none"/>
        </w:tabs>
        <w:jc w:val="both"/>
        <w:rPr>
          <w:rFonts w:ascii="Arial" w:hAnsi="Arial" w:cs="Arial"/>
        </w:rPr>
      </w:pPr>
      <w:r>
        <w:rPr>
          <w:rFonts w:cs="Arial" w:ascii="Arial" w:hAnsi="Arial"/>
        </w:rPr>
        <w:t>Title</w:t>
        <w:tab/>
        <w:tab/>
        <w:t>Title]</w:t>
      </w:r>
    </w:p>
    <w:p>
      <w:pPr>
        <w:pStyle w:val="BodyText2"/>
        <w:rPr/>
      </w:pPr>
      <w:r>
        <w:rPr/>
        <w:t xml:space="preserve">We propose using the EEI Master with Cover Sheet structure, which would eliminate the need to sign this document separately.  </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rPr>
  </w:style>
  <w:style w:type="paragraph" w:styleId="Footer">
    <w:name w:val="footer"/>
    <w:basedOn w:val="Normal"/>
    <w:pPr>
      <w:tabs>
        <w:tab w:val="clear" w:pos="720"/>
        <w:tab w:val="center" w:pos="4320" w:leader="none"/>
        <w:tab w:val="right" w:pos="8640" w:leader="none"/>
      </w:tabs>
    </w:pPr>
    <w:rPr>
      <w:sz w:val="20"/>
    </w:rPr>
  </w:style>
  <w:style w:type="paragraph" w:styleId="BodyTextIndent">
    <w:name w:val="Body Text Indent"/>
    <w:basedOn w:val="Normal"/>
    <w:pPr>
      <w:ind w:hanging="0" w:start="360" w:end="0"/>
      <w:jc w:val="both"/>
    </w:pPr>
    <w:rPr>
      <w:rFonts w:ascii="Arial" w:hAnsi="Arial" w:cs="Arial"/>
    </w:rPr>
  </w:style>
  <w:style w:type="paragraph" w:styleId="BodyText2">
    <w:name w:val="Body Text 2"/>
    <w:basedOn w:val="Normal"/>
    <w:qFormat/>
    <w:pPr>
      <w:tabs>
        <w:tab w:val="left" w:pos="720" w:leader="none"/>
        <w:tab w:val="left" w:pos="5040" w:leader="none"/>
      </w:tabs>
      <w:jc w:val="both"/>
    </w:pPr>
    <w:rPr>
      <w:b/>
      <w:bCs/>
      <w:i/>
      <w:i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2001-03-27T18:02:00Z</dcterms:created>
  <dc:creator>Oreilly Terrence </dc:creator>
  <dc:description/>
  <dc:language>en-CA</dc:language>
  <cp:lastModifiedBy>jmoore2</cp:lastModifiedBy>
  <cp:lastPrinted>2001-03-09T12:32:00Z</cp:lastPrinted>
  <dcterms:modified xsi:type="dcterms:W3CDTF">2001-03-27T22:28:00Z</dcterms:modified>
  <cp:revision>4</cp:revision>
  <dc:subject/>
  <dc:title>SUPPLEMENT</dc:title>
</cp:coreProperties>
</file>