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Establishing a strong (credit) risk function for energy 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Energy trading – separation of duties</w:t>
      </w:r>
    </w:p>
    <w:p>
      <w:pPr>
        <w:pStyle w:val="Normal"/>
        <w:numPr>
          <w:ilvl w:val="0"/>
          <w:numId w:val="5"/>
        </w:numPr>
        <w:rPr/>
      </w:pPr>
      <w:r>
        <w:rPr/>
        <w:t>trading front office</w:t>
      </w:r>
    </w:p>
    <w:p>
      <w:pPr>
        <w:pStyle w:val="Normal"/>
        <w:numPr>
          <w:ilvl w:val="0"/>
          <w:numId w:val="5"/>
        </w:numPr>
        <w:rPr/>
      </w:pPr>
      <w:r>
        <w:rPr/>
        <w:t>risk management middle office</w:t>
      </w:r>
    </w:p>
    <w:p>
      <w:pPr>
        <w:pStyle w:val="Normal"/>
        <w:numPr>
          <w:ilvl w:val="0"/>
          <w:numId w:val="5"/>
        </w:numPr>
        <w:rPr/>
      </w:pPr>
      <w:r>
        <w:rPr/>
        <w:t>accounting back office</w:t>
      </w:r>
    </w:p>
    <w:p>
      <w:pPr>
        <w:pStyle w:val="Normal"/>
        <w:numPr>
          <w:ilvl w:val="0"/>
          <w:numId w:val="5"/>
        </w:numPr>
        <w:rPr/>
      </w:pPr>
      <w:r>
        <w:rPr/>
        <w:t>risk reporting direct to the board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Devising an effective risk management infrastructure</w:t>
      </w:r>
    </w:p>
    <w:p>
      <w:pPr>
        <w:pStyle w:val="Normal"/>
        <w:numPr>
          <w:ilvl w:val="0"/>
          <w:numId w:val="3"/>
        </w:numPr>
        <w:rPr/>
      </w:pPr>
      <w:r>
        <w:rPr/>
        <w:t>dividing middle office risk management into functions</w:t>
      </w:r>
    </w:p>
    <w:p>
      <w:pPr>
        <w:pStyle w:val="Normal"/>
        <w:numPr>
          <w:ilvl w:val="1"/>
          <w:numId w:val="3"/>
        </w:numPr>
        <w:rPr/>
      </w:pPr>
      <w:r>
        <w:rPr/>
        <w:t>market risk management</w:t>
      </w:r>
    </w:p>
    <w:p>
      <w:pPr>
        <w:pStyle w:val="Normal"/>
        <w:numPr>
          <w:ilvl w:val="1"/>
          <w:numId w:val="3"/>
        </w:numPr>
        <w:rPr/>
      </w:pPr>
      <w:r>
        <w:rPr/>
        <w:t>risk control</w:t>
      </w:r>
    </w:p>
    <w:p>
      <w:pPr>
        <w:pStyle w:val="Normal"/>
        <w:numPr>
          <w:ilvl w:val="1"/>
          <w:numId w:val="3"/>
        </w:numPr>
        <w:rPr/>
      </w:pPr>
      <w:r>
        <w:rPr/>
        <w:t>credit risk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Credit risk management and objectives</w:t>
      </w:r>
    </w:p>
    <w:p>
      <w:pPr>
        <w:pStyle w:val="Normal"/>
        <w:numPr>
          <w:ilvl w:val="0"/>
          <w:numId w:val="3"/>
        </w:numPr>
        <w:rPr/>
      </w:pPr>
      <w:r>
        <w:rPr/>
        <w:t>differing components to a strong credit risk management group</w:t>
      </w:r>
    </w:p>
    <w:p>
      <w:pPr>
        <w:pStyle w:val="Normal"/>
        <w:numPr>
          <w:ilvl w:val="0"/>
          <w:numId w:val="3"/>
        </w:numPr>
        <w:rPr/>
      </w:pPr>
      <w:r>
        <w:rPr/>
        <w:t>establishing key objectives</w:t>
      </w:r>
    </w:p>
    <w:p>
      <w:pPr>
        <w:pStyle w:val="Normal"/>
        <w:numPr>
          <w:ilvl w:val="0"/>
          <w:numId w:val="3"/>
        </w:numPr>
        <w:rPr/>
      </w:pPr>
      <w:r>
        <w:rPr/>
        <w:t>core credit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Co-ordination between different functions</w:t>
      </w:r>
    </w:p>
    <w:p>
      <w:pPr>
        <w:pStyle w:val="Normal"/>
        <w:numPr>
          <w:ilvl w:val="0"/>
          <w:numId w:val="2"/>
        </w:numPr>
        <w:rPr/>
      </w:pPr>
      <w:r>
        <w:rPr/>
        <w:t>measuring and reporting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understanding core credit reports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Credit risk management: credit scoring</w:t>
      </w:r>
    </w:p>
    <w:p>
      <w:pPr>
        <w:pStyle w:val="Normal"/>
        <w:numPr>
          <w:ilvl w:val="0"/>
          <w:numId w:val="4"/>
        </w:numPr>
        <w:rPr/>
      </w:pPr>
      <w:r>
        <w:rPr/>
        <w:t>quantifying credit risk of un-rated counterparties</w:t>
      </w:r>
    </w:p>
    <w:p>
      <w:pPr>
        <w:pStyle w:val="Normal"/>
        <w:numPr>
          <w:ilvl w:val="0"/>
          <w:numId w:val="4"/>
        </w:numPr>
        <w:rPr/>
      </w:pPr>
      <w:r>
        <w:rPr/>
        <w:t>examples of internal credit score components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2001-10-04T12:50:00Z</dcterms:created>
  <dc:creator>asimou</dc:creator>
  <dc:description/>
  <dc:language>en-CA</dc:language>
  <cp:lastModifiedBy>asimou</cp:lastModifiedBy>
  <dcterms:modified xsi:type="dcterms:W3CDTF">2001-10-04T12:58:00Z</dcterms:modified>
  <cp:revision>1</cp:revision>
  <dc:subject/>
  <dc:title>Establishing a strong (credit) risk function for energy companies</dc:title>
</cp:coreProperties>
</file>