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Establishing a strong credit risk function for energy companies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Measurement of credit exposure</w:t>
      </w:r>
    </w:p>
    <w:p>
      <w:pPr>
        <w:pStyle w:val="Normal"/>
        <w:numPr>
          <w:ilvl w:val="0"/>
          <w:numId w:val="4"/>
        </w:numPr>
        <w:rPr/>
      </w:pPr>
      <w:r>
        <w:rPr/>
        <w:t>current credit exposure</w:t>
      </w:r>
    </w:p>
    <w:p>
      <w:pPr>
        <w:pStyle w:val="Normal"/>
        <w:numPr>
          <w:ilvl w:val="0"/>
          <w:numId w:val="4"/>
        </w:numPr>
        <w:rPr/>
      </w:pPr>
      <w:r>
        <w:rPr/>
        <w:t>potential credit exposure</w:t>
      </w:r>
    </w:p>
    <w:p>
      <w:pPr>
        <w:pStyle w:val="Normal"/>
        <w:numPr>
          <w:ilvl w:val="1"/>
          <w:numId w:val="4"/>
        </w:numPr>
        <w:rPr/>
      </w:pPr>
      <w:r>
        <w:rPr/>
        <w:t>simulation of future prices of energy commodities</w:t>
      </w:r>
    </w:p>
    <w:p>
      <w:pPr>
        <w:pStyle w:val="Normal"/>
        <w:numPr>
          <w:ilvl w:val="1"/>
          <w:numId w:val="4"/>
        </w:numPr>
        <w:rPr/>
      </w:pPr>
      <w:r>
        <w:rPr/>
        <w:t>calculation of  future value of energy-related contracts</w:t>
      </w:r>
    </w:p>
    <w:p>
      <w:pPr>
        <w:pStyle w:val="Normal"/>
        <w:numPr>
          <w:ilvl w:val="1"/>
          <w:numId w:val="4"/>
        </w:numPr>
        <w:rPr/>
      </w:pPr>
      <w:r>
        <w:rPr/>
        <w:t>netting of physical and financial transactions</w:t>
      </w:r>
    </w:p>
    <w:p>
      <w:pPr>
        <w:pStyle w:val="Normal"/>
        <w:numPr>
          <w:ilvl w:val="1"/>
          <w:numId w:val="4"/>
        </w:numPr>
        <w:rPr/>
      </w:pPr>
      <w:r>
        <w:rPr/>
        <w:t xml:space="preserve">credit derivatives and credit insurance </w:t>
      </w:r>
    </w:p>
    <w:p>
      <w:pPr>
        <w:pStyle w:val="Normal"/>
        <w:numPr>
          <w:ilvl w:val="0"/>
          <w:numId w:val="4"/>
        </w:numPr>
        <w:rPr/>
      </w:pPr>
      <w:r>
        <w:rPr/>
        <w:t>Challenges</w:t>
      </w:r>
    </w:p>
    <w:p>
      <w:pPr>
        <w:pStyle w:val="Normal"/>
        <w:numPr>
          <w:ilvl w:val="1"/>
          <w:numId w:val="4"/>
        </w:numPr>
        <w:rPr/>
      </w:pPr>
      <w:r>
        <w:rPr/>
        <w:t>high volatility and non-stationarity of energy prices</w:t>
      </w:r>
    </w:p>
    <w:p>
      <w:pPr>
        <w:pStyle w:val="Normal"/>
        <w:numPr>
          <w:ilvl w:val="1"/>
          <w:numId w:val="4"/>
        </w:numPr>
        <w:rPr/>
      </w:pPr>
      <w:r>
        <w:rPr/>
        <w:t>legal and regulatory uncertainty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  <w:t>Estimation of probabilities of default and/of  bankruptcy</w:t>
      </w:r>
    </w:p>
    <w:p>
      <w:pPr>
        <w:pStyle w:val="Normal"/>
        <w:numPr>
          <w:ilvl w:val="0"/>
          <w:numId w:val="4"/>
        </w:numPr>
        <w:rPr/>
      </w:pPr>
      <w:r>
        <w:rPr/>
        <w:t>probability of default vs. probability of bankruptcy</w:t>
      </w:r>
    </w:p>
    <w:p>
      <w:pPr>
        <w:pStyle w:val="Normal"/>
        <w:numPr>
          <w:ilvl w:val="0"/>
          <w:numId w:val="4"/>
        </w:numPr>
        <w:rPr/>
      </w:pPr>
      <w:r>
        <w:rPr/>
        <w:t>differences between models for private and public counter parties</w:t>
      </w:r>
    </w:p>
    <w:p>
      <w:pPr>
        <w:pStyle w:val="Normal"/>
        <w:numPr>
          <w:ilvl w:val="0"/>
          <w:numId w:val="4"/>
        </w:numPr>
        <w:rPr/>
      </w:pPr>
      <w:r>
        <w:rPr/>
        <w:t>use of historical vs. forward-looking information</w:t>
      </w:r>
    </w:p>
    <w:p>
      <w:pPr>
        <w:pStyle w:val="Normal"/>
        <w:numPr>
          <w:ilvl w:val="0"/>
          <w:numId w:val="4"/>
        </w:numPr>
        <w:rPr/>
      </w:pPr>
      <w:r>
        <w:rPr/>
        <w:t>estimation of probabilities of default from interest rate spreads</w:t>
      </w:r>
    </w:p>
    <w:p>
      <w:pPr>
        <w:pStyle w:val="Normal"/>
        <w:numPr>
          <w:ilvl w:val="0"/>
          <w:numId w:val="4"/>
        </w:numPr>
        <w:rPr/>
      </w:pPr>
      <w:r>
        <w:rPr/>
        <w:t>statistical models for  estimation of bankruptcy/default probability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  <w:t>Credit derivatives and other financial products used in credit risk mitigation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Energy trading – separation of duties</w:t>
      </w:r>
    </w:p>
    <w:p>
      <w:pPr>
        <w:pStyle w:val="Normal"/>
        <w:numPr>
          <w:ilvl w:val="0"/>
          <w:numId w:val="5"/>
        </w:numPr>
        <w:rPr/>
      </w:pPr>
      <w:r>
        <w:rPr/>
        <w:t>trading front office</w:t>
      </w:r>
    </w:p>
    <w:p>
      <w:pPr>
        <w:pStyle w:val="Normal"/>
        <w:numPr>
          <w:ilvl w:val="0"/>
          <w:numId w:val="5"/>
        </w:numPr>
        <w:rPr/>
      </w:pPr>
      <w:r>
        <w:rPr/>
        <w:t>risk management middle office</w:t>
      </w:r>
    </w:p>
    <w:p>
      <w:pPr>
        <w:pStyle w:val="Normal"/>
        <w:numPr>
          <w:ilvl w:val="0"/>
          <w:numId w:val="5"/>
        </w:numPr>
        <w:rPr/>
      </w:pPr>
      <w:r>
        <w:rPr/>
        <w:t>accounting back office</w:t>
      </w:r>
    </w:p>
    <w:p>
      <w:pPr>
        <w:pStyle w:val="Normal"/>
        <w:numPr>
          <w:ilvl w:val="0"/>
          <w:numId w:val="5"/>
        </w:numPr>
        <w:rPr/>
      </w:pPr>
      <w:r>
        <w:rPr/>
        <w:t>risk reporting direct to the board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Devising an effective risk management infrastructure</w:t>
      </w:r>
    </w:p>
    <w:p>
      <w:pPr>
        <w:pStyle w:val="Normal"/>
        <w:numPr>
          <w:ilvl w:val="0"/>
          <w:numId w:val="3"/>
        </w:numPr>
        <w:rPr/>
      </w:pPr>
      <w:r>
        <w:rPr/>
        <w:t>dividing middle office risk management into functions</w:t>
      </w:r>
    </w:p>
    <w:p>
      <w:pPr>
        <w:pStyle w:val="Normal"/>
        <w:numPr>
          <w:ilvl w:val="1"/>
          <w:numId w:val="3"/>
        </w:numPr>
        <w:rPr/>
      </w:pPr>
      <w:r>
        <w:rPr/>
        <w:t>market risk management</w:t>
      </w:r>
    </w:p>
    <w:p>
      <w:pPr>
        <w:pStyle w:val="Normal"/>
        <w:numPr>
          <w:ilvl w:val="1"/>
          <w:numId w:val="3"/>
        </w:numPr>
        <w:rPr/>
      </w:pPr>
      <w:r>
        <w:rPr/>
        <w:t>risk control</w:t>
      </w:r>
    </w:p>
    <w:p>
      <w:pPr>
        <w:pStyle w:val="Normal"/>
        <w:numPr>
          <w:ilvl w:val="1"/>
          <w:numId w:val="3"/>
        </w:numPr>
        <w:rPr/>
      </w:pPr>
      <w:r>
        <w:rPr/>
        <w:t>credit risk management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Credit risk management and objectives</w:t>
      </w:r>
    </w:p>
    <w:p>
      <w:pPr>
        <w:pStyle w:val="Normal"/>
        <w:numPr>
          <w:ilvl w:val="0"/>
          <w:numId w:val="3"/>
        </w:numPr>
        <w:rPr/>
      </w:pPr>
      <w:r>
        <w:rPr/>
        <w:t>differing components to a strong credit risk management group</w:t>
      </w:r>
    </w:p>
    <w:p>
      <w:pPr>
        <w:pStyle w:val="Normal"/>
        <w:numPr>
          <w:ilvl w:val="0"/>
          <w:numId w:val="3"/>
        </w:numPr>
        <w:rPr/>
      </w:pPr>
      <w:r>
        <w:rPr/>
        <w:t>establishing key objectives</w:t>
      </w:r>
    </w:p>
    <w:p>
      <w:pPr>
        <w:pStyle w:val="Normal"/>
        <w:numPr>
          <w:ilvl w:val="0"/>
          <w:numId w:val="3"/>
        </w:numPr>
        <w:rPr/>
      </w:pPr>
      <w:r>
        <w:rPr/>
        <w:t>core credit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Co-ordination between different functions</w:t>
      </w:r>
    </w:p>
    <w:p>
      <w:pPr>
        <w:pStyle w:val="Normal"/>
        <w:numPr>
          <w:ilvl w:val="0"/>
          <w:numId w:val="2"/>
        </w:numPr>
        <w:rPr/>
      </w:pPr>
      <w:r>
        <w:rPr/>
        <w:t>measuring and reporting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understanding core credit reports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Credit risk management: credit scoring</w:t>
      </w:r>
    </w:p>
    <w:p>
      <w:pPr>
        <w:pStyle w:val="Normal"/>
        <w:numPr>
          <w:ilvl w:val="0"/>
          <w:numId w:val="4"/>
        </w:numPr>
        <w:rPr/>
      </w:pPr>
      <w:r>
        <w:rPr/>
        <w:t>quantifying credit risk of un-rated counterparties</w:t>
      </w:r>
    </w:p>
    <w:p>
      <w:pPr>
        <w:pStyle w:val="Normal"/>
        <w:numPr>
          <w:ilvl w:val="0"/>
          <w:numId w:val="4"/>
        </w:numPr>
        <w:rPr/>
      </w:pPr>
      <w:r>
        <w:rPr/>
        <w:t>examples of internal credit score components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Presented by Vince Kaminski, Managing Director, Research, Enron Wholesale Services &amp; Mark Williams, VP, Head of Risk Management, Edison Mission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-"/>
      <w:lvlJc w:val="start"/>
      <w:pPr>
        <w:tabs>
          <w:tab w:val="num" w:pos="144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Times New Roman" w:hAnsi="Times New Roman" w:eastAsia="Times New Roman" w:cs="Times New Roman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3z5">
    <w:name w:val="WW8Num3z5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2001-10-16T08:37:00Z</dcterms:created>
  <dc:creator>asimou</dc:creator>
  <dc:description/>
  <dc:language>en-CA</dc:language>
  <cp:lastModifiedBy>asimou</cp:lastModifiedBy>
  <dcterms:modified xsi:type="dcterms:W3CDTF">2001-10-16T12:38:00Z</dcterms:modified>
  <cp:revision>4</cp:revision>
  <dc:subject/>
  <dc:title>Establishing a strong (credit) risk function for energy companies</dc:title>
</cp:coreProperties>
</file>