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_rels/footnotes.xml.rels" ContentType="application/vnd.openxmlformats-package.relationships+xml"/>
  <Override PartName="/word/footer9.xml" ContentType="application/vnd.openxmlformats-officedocument.wordprocessingml.footer+xml"/>
  <Override PartName="/word/footer10.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footer5.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tbl>
      <w:tblPr>
        <w:tblW w:w="8856" w:type="dxa"/>
        <w:jc w:val="start"/>
        <w:tblInd w:w="0" w:type="dxa"/>
        <w:tblLayout w:type="fixed"/>
        <w:tblCellMar>
          <w:top w:w="0" w:type="dxa"/>
          <w:start w:w="108" w:type="dxa"/>
          <w:bottom w:w="0" w:type="dxa"/>
          <w:end w:w="108" w:type="dxa"/>
        </w:tblCellMar>
      </w:tblPr>
      <w:tblGrid>
        <w:gridCol w:w="8856"/>
      </w:tblGrid>
      <w:tr>
        <w:trPr/>
        <w:tc>
          <w:tcPr>
            <w:tcW w:w="8856"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b/>
                <w:smallCaps/>
                <w:sz w:val="32"/>
              </w:rPr>
            </w:pPr>
            <w:r>
              <w:rPr>
                <w:b/>
                <w:smallCaps/>
                <w:sz w:val="32"/>
              </w:rPr>
            </w:r>
          </w:p>
          <w:p>
            <w:pPr>
              <w:pStyle w:val="Normal"/>
              <w:spacing w:lineRule="auto" w:line="360"/>
              <w:jc w:val="center"/>
              <w:rPr>
                <w:b/>
                <w:smallCaps/>
                <w:sz w:val="32"/>
              </w:rPr>
            </w:pPr>
            <w:r>
              <w:rPr>
                <w:b/>
                <w:smallCaps/>
                <w:sz w:val="32"/>
              </w:rPr>
            </w:r>
          </w:p>
          <w:p>
            <w:pPr>
              <w:pStyle w:val="Normal"/>
              <w:spacing w:lineRule="auto" w:line="360"/>
              <w:jc w:val="center"/>
              <w:rPr>
                <w:b/>
                <w:smallCaps/>
                <w:sz w:val="32"/>
              </w:rPr>
            </w:pPr>
            <w:r>
              <w:rPr>
                <w:b/>
                <w:smallCaps/>
                <w:sz w:val="32"/>
              </w:rPr>
            </w:r>
          </w:p>
          <w:p>
            <w:pPr>
              <w:pStyle w:val="Normal"/>
              <w:spacing w:lineRule="auto" w:line="360"/>
              <w:jc w:val="center"/>
              <w:rPr>
                <w:b/>
                <w:smallCaps/>
                <w:sz w:val="32"/>
              </w:rPr>
            </w:pPr>
            <w:r>
              <w:rPr>
                <w:b/>
                <w:smallCaps/>
                <w:sz w:val="32"/>
              </w:rPr>
            </w:r>
          </w:p>
          <w:p>
            <w:pPr>
              <w:pStyle w:val="Normal"/>
              <w:spacing w:lineRule="auto" w:line="360"/>
              <w:jc w:val="center"/>
              <w:rPr>
                <w:b/>
                <w:smallCaps/>
                <w:sz w:val="32"/>
              </w:rPr>
            </w:pPr>
            <w:r>
              <w:rPr>
                <w:b/>
                <w:smallCaps/>
                <w:sz w:val="32"/>
              </w:rPr>
            </w:r>
          </w:p>
          <w:p>
            <w:pPr>
              <w:pStyle w:val="Normal"/>
              <w:spacing w:lineRule="auto" w:line="360"/>
              <w:rPr>
                <w:b/>
                <w:smallCaps/>
                <w:sz w:val="32"/>
              </w:rPr>
            </w:pPr>
            <w:r>
              <w:rPr>
                <w:b/>
                <w:smallCaps/>
                <w:sz w:val="32"/>
              </w:rPr>
            </w:r>
          </w:p>
          <w:p>
            <w:pPr>
              <w:pStyle w:val="Normal"/>
              <w:spacing w:lineRule="auto" w:line="360"/>
              <w:jc w:val="center"/>
              <w:rPr>
                <w:b/>
                <w:smallCaps/>
                <w:sz w:val="32"/>
              </w:rPr>
            </w:pPr>
            <w:r>
              <w:rPr>
                <w:b/>
                <w:smallCaps/>
                <w:sz w:val="32"/>
              </w:rPr>
            </w:r>
          </w:p>
          <w:p>
            <w:pPr>
              <w:pStyle w:val="Normal"/>
              <w:spacing w:lineRule="auto" w:line="360"/>
              <w:jc w:val="center"/>
              <w:rPr>
                <w:b/>
                <w:smallCaps/>
                <w:sz w:val="32"/>
              </w:rPr>
            </w:pPr>
            <w:r>
              <w:rPr>
                <w:b/>
                <w:smallCaps/>
                <w:sz w:val="32"/>
              </w:rPr>
            </w:r>
          </w:p>
          <w:p>
            <w:pPr>
              <w:pStyle w:val="Normal"/>
              <w:spacing w:lineRule="auto" w:line="360"/>
              <w:jc w:val="center"/>
              <w:rPr>
                <w:b/>
                <w:smallCaps/>
                <w:sz w:val="36"/>
              </w:rPr>
            </w:pPr>
            <w:r>
              <w:rPr>
                <w:b/>
                <w:smallCaps/>
                <w:sz w:val="36"/>
              </w:rPr>
              <w:t>Wholesale Power Trading:</w:t>
            </w:r>
          </w:p>
          <w:p>
            <w:pPr>
              <w:pStyle w:val="Normal"/>
              <w:spacing w:lineRule="auto" w:line="360"/>
              <w:jc w:val="center"/>
              <w:rPr>
                <w:b/>
                <w:smallCaps/>
                <w:sz w:val="36"/>
              </w:rPr>
            </w:pPr>
            <w:r>
              <w:rPr>
                <w:b/>
                <w:smallCaps/>
                <w:sz w:val="36"/>
              </w:rPr>
              <w:t>An Overview</w:t>
            </w:r>
          </w:p>
          <w:p>
            <w:pPr>
              <w:pStyle w:val="Normal"/>
              <w:spacing w:lineRule="auto" w:line="360"/>
              <w:jc w:val="center"/>
              <w:rPr>
                <w:b/>
                <w:smallCaps/>
                <w:sz w:val="32"/>
              </w:rPr>
            </w:pPr>
            <w:r>
              <w:rPr>
                <w:b/>
                <w:smallCaps/>
                <w:sz w:val="32"/>
              </w:rPr>
            </w:r>
          </w:p>
          <w:p>
            <w:pPr>
              <w:pStyle w:val="Normal"/>
              <w:spacing w:lineRule="auto" w:line="360"/>
              <w:jc w:val="center"/>
              <w:rPr>
                <w:b/>
                <w:smallCaps/>
                <w:sz w:val="28"/>
              </w:rPr>
            </w:pPr>
            <w:r>
              <w:rPr>
                <w:b/>
                <w:smallCaps/>
                <w:sz w:val="28"/>
              </w:rPr>
              <w:t>September 2000</w:t>
            </w:r>
          </w:p>
          <w:p>
            <w:pPr>
              <w:pStyle w:val="Normal"/>
              <w:spacing w:lineRule="auto" w:line="360"/>
              <w:jc w:val="center"/>
              <w:rPr>
                <w:b/>
                <w:smallCaps/>
                <w:sz w:val="32"/>
              </w:rPr>
            </w:pPr>
            <w:r>
              <w:rPr>
                <w:b/>
                <w:smallCaps/>
                <w:sz w:val="32"/>
              </w:rPr>
            </w:r>
          </w:p>
          <w:p>
            <w:pPr>
              <w:pStyle w:val="Normal"/>
              <w:spacing w:lineRule="auto" w:line="360"/>
              <w:jc w:val="center"/>
              <w:rPr>
                <w:b/>
                <w:smallCaps/>
                <w:sz w:val="32"/>
              </w:rPr>
            </w:pPr>
            <w:r>
              <w:rPr>
                <w:b/>
                <w:smallCaps/>
                <w:sz w:val="32"/>
              </w:rPr>
            </w:r>
          </w:p>
          <w:p>
            <w:pPr>
              <w:pStyle w:val="Normal"/>
              <w:jc w:val="center"/>
              <w:rPr>
                <w:b/>
                <w:smallCaps/>
                <w:sz w:val="22"/>
              </w:rPr>
            </w:pPr>
            <w:r>
              <w:rPr>
                <w:b/>
                <w:smallCaps/>
                <w:sz w:val="22"/>
              </w:rPr>
            </w:r>
          </w:p>
          <w:p>
            <w:pPr>
              <w:pStyle w:val="Normal"/>
              <w:spacing w:lineRule="auto" w:line="360"/>
              <w:jc w:val="center"/>
              <w:rPr>
                <w:smallCaps/>
                <w:sz w:val="22"/>
              </w:rPr>
            </w:pPr>
            <w:r>
              <w:rPr>
                <w:smallCaps/>
                <w:sz w:val="22"/>
              </w:rPr>
            </w:r>
          </w:p>
          <w:p>
            <w:pPr>
              <w:pStyle w:val="Normal"/>
              <w:spacing w:lineRule="auto" w:line="360"/>
              <w:jc w:val="center"/>
              <w:rPr>
                <w:smallCaps/>
                <w:sz w:val="22"/>
              </w:rPr>
            </w:pPr>
            <w:r>
              <w:rPr>
                <w:smallCaps/>
                <w:sz w:val="22"/>
              </w:rPr>
            </w:r>
          </w:p>
          <w:p>
            <w:pPr>
              <w:pStyle w:val="Normal"/>
              <w:spacing w:lineRule="auto" w:line="360"/>
              <w:jc w:val="center"/>
              <w:rPr>
                <w:smallCaps/>
                <w:sz w:val="22"/>
              </w:rPr>
            </w:pPr>
            <w:r>
              <w:rPr>
                <w:smallCaps/>
                <w:sz w:val="22"/>
              </w:rPr>
            </w:r>
          </w:p>
          <w:p>
            <w:pPr>
              <w:pStyle w:val="Normal"/>
              <w:spacing w:lineRule="auto" w:line="360"/>
              <w:jc w:val="center"/>
              <w:rPr>
                <w:smallCaps/>
                <w:sz w:val="22"/>
              </w:rPr>
            </w:pPr>
            <w:r>
              <w:rPr>
                <w:smallCaps/>
                <w:sz w:val="22"/>
              </w:rPr>
            </w:r>
          </w:p>
          <w:p>
            <w:pPr>
              <w:pStyle w:val="Normal"/>
              <w:spacing w:lineRule="auto" w:line="360"/>
              <w:rPr>
                <w:smallCaps/>
                <w:sz w:val="22"/>
              </w:rPr>
            </w:pPr>
            <w:r>
              <w:rPr>
                <w:smallCaps/>
                <w:sz w:val="22"/>
              </w:rPr>
            </w:r>
          </w:p>
          <w:p>
            <w:pPr>
              <w:pStyle w:val="Normal"/>
              <w:jc w:val="center"/>
              <w:rPr>
                <w:smallCaps/>
                <w:sz w:val="22"/>
              </w:rPr>
            </w:pPr>
            <w:r>
              <w:rPr>
                <w:smallCaps/>
                <w:sz w:val="22"/>
              </w:rPr>
              <w:t>Baker &amp; McKenzie</w:t>
            </w:r>
          </w:p>
          <w:p>
            <w:pPr>
              <w:pStyle w:val="Normal"/>
              <w:jc w:val="center"/>
              <w:rPr>
                <w:smallCaps/>
                <w:sz w:val="22"/>
              </w:rPr>
            </w:pPr>
            <w:r>
              <w:rPr>
                <w:smallCaps/>
                <w:sz w:val="22"/>
              </w:rPr>
              <w:t>815 Connecticut Avenue, N.W.</w:t>
            </w:r>
          </w:p>
          <w:p>
            <w:pPr>
              <w:pStyle w:val="Normal"/>
              <w:jc w:val="center"/>
              <w:rPr>
                <w:smallCaps/>
                <w:sz w:val="22"/>
              </w:rPr>
            </w:pPr>
            <w:r>
              <w:rPr>
                <w:smallCaps/>
                <w:sz w:val="22"/>
              </w:rPr>
              <w:t>Washington, DC 20006</w:t>
            </w:r>
          </w:p>
          <w:p>
            <w:pPr>
              <w:pStyle w:val="Normal"/>
              <w:jc w:val="center"/>
              <w:rPr>
                <w:b/>
                <w:smallCaps/>
              </w:rPr>
            </w:pPr>
            <w:r>
              <w:rPr>
                <w:smallCaps/>
                <w:sz w:val="22"/>
              </w:rPr>
              <w:t>202.452.7000</w:t>
            </w:r>
          </w:p>
          <w:p>
            <w:pPr>
              <w:pStyle w:val="Normal"/>
              <w:spacing w:lineRule="auto" w:line="360"/>
              <w:rPr>
                <w:b/>
                <w:smallCaps/>
                <w:sz w:val="32"/>
              </w:rPr>
            </w:pPr>
            <w:r>
              <w:rPr>
                <w:b/>
                <w:smallCaps/>
                <w:sz w:val="32"/>
              </w:rPr>
            </w:r>
          </w:p>
        </w:tc>
      </w:tr>
    </w:tbl>
    <w:p>
      <w:pPr>
        <w:sectPr>
          <w:footerReference w:type="default" r:id="rId2"/>
          <w:footerReference w:type="first" r:id="rId3"/>
          <w:type w:val="nextPage"/>
          <w:pgSz w:w="12240" w:h="15840"/>
          <w:pgMar w:left="1800" w:right="1800" w:gutter="0" w:header="0" w:top="1440" w:footer="720" w:bottom="1440"/>
          <w:pgNumType w:fmt="decimal"/>
          <w:formProt w:val="false"/>
          <w:vAlign w:val="center"/>
          <w:titlePg/>
          <w:textDirection w:val="lrTb"/>
          <w:docGrid w:type="default" w:linePitch="360" w:charSpace="0"/>
        </w:sectPr>
        <w:pStyle w:val="Normal"/>
        <w:spacing w:lineRule="auto" w:line="360"/>
        <w:jc w:val="center"/>
        <w:rPr>
          <w:b/>
          <w:smallCaps/>
          <w:sz w:val="32"/>
        </w:rPr>
      </w:pPr>
      <w:r>
        <w:rPr>
          <w:b/>
          <w:smallCaps/>
          <w:sz w:val="32"/>
        </w:rPr>
      </w:r>
    </w:p>
    <w:p>
      <w:pPr>
        <w:pStyle w:val="Normal"/>
        <w:spacing w:lineRule="auto" w:line="360"/>
        <w:jc w:val="center"/>
        <w:rPr>
          <w:b/>
        </w:rPr>
      </w:pPr>
      <w:r>
        <w:rPr>
          <w:b/>
          <w:smallCaps/>
        </w:rPr>
        <w:t>Table of Contents</w:t>
      </w:r>
    </w:p>
    <w:p>
      <w:pPr>
        <w:pStyle w:val="Normal"/>
        <w:spacing w:lineRule="auto" w:line="360"/>
        <w:rPr>
          <w:b/>
        </w:rPr>
      </w:pPr>
      <w:r>
        <w:rPr>
          <w:b/>
        </w:rPr>
      </w:r>
    </w:p>
    <w:p>
      <w:pPr>
        <w:pStyle w:val="Normal"/>
        <w:spacing w:lineRule="auto" w:line="360"/>
        <w:rPr>
          <w:b/>
        </w:rPr>
      </w:pPr>
      <w:r>
        <w:rPr>
          <w:b/>
        </w:rPr>
        <w:t>Section</w:t>
        <w:tab/>
        <w:tab/>
        <w:tab/>
        <w:tab/>
        <w:tab/>
        <w:tab/>
        <w:tab/>
        <w:tab/>
        <w:tab/>
        <w:tab/>
        <w:t xml:space="preserve">   Page</w:t>
      </w:r>
    </w:p>
    <w:sdt>
      <w:sdtPr>
        <w:docPartObj>
          <w:docPartGallery w:val="Table of Contents"/>
          <w:docPartUnique w:val="true"/>
        </w:docPartObj>
      </w:sdtPr>
      <w:sdtContent>
        <w:p>
          <w:pPr>
            <w:pStyle w:val="TOC1"/>
            <w:tabs>
              <w:tab w:val="clear" w:pos="720"/>
              <w:tab w:val="right" w:pos="8630" w:leader="none"/>
            </w:tabs>
            <w:rPr>
              <w:lang w:val="en-CA"/>
            </w:rPr>
          </w:pPr>
          <w:r>
            <w:fldChar w:fldCharType="begin"/>
          </w:r>
          <w:r>
            <w:rPr>
              <w:smallCaps/>
              <w:lang w:val="en-CA"/>
            </w:rPr>
            <w:instrText xml:space="preserve"> TOC \f </w:instrText>
          </w:r>
          <w:r>
            <w:rPr>
              <w:smallCaps/>
              <w:lang w:val="en-CA"/>
            </w:rPr>
            <w:fldChar w:fldCharType="separate"/>
          </w:r>
          <w:r>
            <w:rPr>
              <w:smallCaps/>
              <w:lang w:val="en-CA"/>
            </w:rPr>
            <w:t>Introduction to Wholesale Power Trading</w:t>
          </w:r>
          <w:r>
            <w:rPr>
              <w:lang w:val="en-CA"/>
            </w:rPr>
            <w:tab/>
          </w:r>
          <w:hyperlink w:anchor="__RefHeading___Toc494713810">
            <w:r>
              <w:rPr>
                <w:rStyle w:val="IndexLink"/>
                <w:lang w:val="en-CA"/>
              </w:rPr>
              <w:t>1</w:t>
            </w:r>
          </w:hyperlink>
        </w:p>
        <w:p>
          <w:pPr>
            <w:pStyle w:val="TOC1"/>
            <w:tabs>
              <w:tab w:val="clear" w:pos="720"/>
              <w:tab w:val="left" w:pos="400" w:leader="none"/>
              <w:tab w:val="right" w:pos="8630" w:leader="none"/>
            </w:tabs>
            <w:rPr>
              <w:lang w:val="en-CA"/>
            </w:rPr>
          </w:pPr>
          <w:r>
            <w:rPr>
              <w:smallCaps/>
              <w:lang w:val="en-CA"/>
            </w:rPr>
            <w:t>I.</w:t>
          </w:r>
          <w:r>
            <w:rPr>
              <w:lang w:val="en-CA"/>
            </w:rPr>
            <w:tab/>
          </w:r>
          <w:r>
            <w:rPr>
              <w:smallCaps/>
              <w:lang w:val="en-CA"/>
            </w:rPr>
            <w:t>Trading in the US Electricity Market</w:t>
          </w:r>
          <w:r>
            <w:rPr>
              <w:lang w:val="en-CA"/>
            </w:rPr>
            <w:tab/>
          </w:r>
          <w:hyperlink w:anchor="__RefHeading___Toc494713811">
            <w:r>
              <w:rPr>
                <w:rStyle w:val="IndexLink"/>
                <w:lang w:val="en-CA"/>
              </w:rPr>
              <w:t>2</w:t>
            </w:r>
          </w:hyperlink>
        </w:p>
        <w:p>
          <w:pPr>
            <w:pStyle w:val="TOC1"/>
            <w:tabs>
              <w:tab w:val="clear" w:pos="720"/>
              <w:tab w:val="left" w:pos="600" w:leader="none"/>
              <w:tab w:val="right" w:pos="8630" w:leader="none"/>
            </w:tabs>
            <w:rPr>
              <w:lang w:val="en-CA"/>
            </w:rPr>
          </w:pPr>
          <w:r>
            <w:rPr>
              <w:smallCaps/>
              <w:lang w:val="en-CA"/>
            </w:rPr>
            <w:t>II.</w:t>
          </w:r>
          <w:r>
            <w:rPr>
              <w:lang w:val="en-CA"/>
            </w:rPr>
            <w:tab/>
          </w:r>
          <w:r>
            <w:rPr>
              <w:smallCaps/>
              <w:lang w:val="en-CA"/>
            </w:rPr>
            <w:t>Trading</w:t>
          </w:r>
          <w:r>
            <w:rPr>
              <w:lang w:val="en-CA"/>
            </w:rPr>
            <w:tab/>
          </w:r>
          <w:hyperlink w:anchor="__RefHeading___Toc494713812">
            <w:r>
              <w:rPr>
                <w:rStyle w:val="IndexLink"/>
                <w:lang w:val="en-CA"/>
              </w:rPr>
              <w:t>5</w:t>
            </w:r>
          </w:hyperlink>
        </w:p>
        <w:p>
          <w:pPr>
            <w:pStyle w:val="TOC1"/>
            <w:tabs>
              <w:tab w:val="clear" w:pos="720"/>
              <w:tab w:val="left" w:pos="600" w:leader="none"/>
              <w:tab w:val="right" w:pos="8630" w:leader="none"/>
            </w:tabs>
            <w:rPr>
              <w:lang w:val="en-CA"/>
            </w:rPr>
          </w:pPr>
          <w:r>
            <w:rPr>
              <w:smallCaps/>
              <w:lang w:val="en-CA"/>
            </w:rPr>
            <w:t>III.</w:t>
          </w:r>
          <w:r>
            <w:rPr>
              <w:lang w:val="en-CA"/>
            </w:rPr>
            <w:tab/>
          </w:r>
          <w:r>
            <w:rPr>
              <w:smallCaps/>
              <w:lang w:val="en-CA"/>
            </w:rPr>
            <w:t>Commercial Aspects</w:t>
          </w:r>
          <w:r>
            <w:rPr>
              <w:lang w:val="en-CA"/>
            </w:rPr>
            <w:tab/>
          </w:r>
          <w:hyperlink w:anchor="__RefHeading___Toc494713813">
            <w:r>
              <w:rPr>
                <w:rStyle w:val="IndexLink"/>
                <w:lang w:val="en-CA"/>
              </w:rPr>
              <w:t>10</w:t>
            </w:r>
          </w:hyperlink>
        </w:p>
        <w:p>
          <w:pPr>
            <w:pStyle w:val="TOC1"/>
            <w:tabs>
              <w:tab w:val="clear" w:pos="720"/>
              <w:tab w:val="left" w:pos="600" w:leader="none"/>
              <w:tab w:val="right" w:pos="8630" w:leader="none"/>
            </w:tabs>
            <w:rPr>
              <w:lang w:val="en-CA"/>
            </w:rPr>
          </w:pPr>
          <w:r>
            <w:rPr>
              <w:lang w:val="en-CA"/>
            </w:rPr>
            <w:t>IV.</w:t>
            <w:tab/>
          </w:r>
          <w:r>
            <w:rPr>
              <w:smallCaps/>
              <w:lang w:val="en-CA"/>
            </w:rPr>
            <w:t>Legal Issues</w:t>
          </w:r>
          <w:r>
            <w:rPr>
              <w:lang w:val="en-CA"/>
            </w:rPr>
            <w:tab/>
          </w:r>
          <w:hyperlink w:anchor="__RefHeading___Toc494713814">
            <w:r>
              <w:rPr>
                <w:rStyle w:val="IndexLink"/>
                <w:lang w:val="en-CA"/>
              </w:rPr>
              <w:t>12</w:t>
            </w:r>
          </w:hyperlink>
        </w:p>
        <w:p>
          <w:pPr>
            <w:pStyle w:val="TOC2"/>
            <w:tabs>
              <w:tab w:val="clear" w:pos="720"/>
              <w:tab w:val="left" w:pos="600" w:leader="none"/>
              <w:tab w:val="right" w:pos="8630" w:leader="none"/>
            </w:tabs>
            <w:rPr>
              <w:lang w:val="en-CA"/>
            </w:rPr>
          </w:pPr>
          <w:r>
            <w:rPr>
              <w:lang w:val="en-CA"/>
            </w:rPr>
            <w:t>1.</w:t>
            <w:tab/>
            <w:t>Know the Product</w:t>
            <w:tab/>
          </w:r>
          <w:hyperlink w:anchor="__RefHeading___Toc494713815">
            <w:r>
              <w:rPr>
                <w:rStyle w:val="IndexLink"/>
                <w:lang w:val="en-CA"/>
              </w:rPr>
              <w:t>13</w:t>
            </w:r>
          </w:hyperlink>
        </w:p>
        <w:p>
          <w:pPr>
            <w:pStyle w:val="TOC2"/>
            <w:tabs>
              <w:tab w:val="clear" w:pos="720"/>
              <w:tab w:val="left" w:pos="600" w:leader="none"/>
              <w:tab w:val="right" w:pos="8630" w:leader="none"/>
            </w:tabs>
            <w:rPr>
              <w:lang w:val="en-CA"/>
            </w:rPr>
          </w:pPr>
          <w:r>
            <w:rPr>
              <w:lang w:val="en-CA"/>
            </w:rPr>
            <w:t>2.</w:t>
            <w:tab/>
            <w:t>Satisfy Credit Concerns</w:t>
            <w:tab/>
          </w:r>
          <w:hyperlink w:anchor="__RefHeading___Toc494713816">
            <w:r>
              <w:rPr>
                <w:rStyle w:val="IndexLink"/>
                <w:lang w:val="en-CA"/>
              </w:rPr>
              <w:t>14</w:t>
            </w:r>
          </w:hyperlink>
        </w:p>
        <w:p>
          <w:pPr>
            <w:pStyle w:val="TOC2"/>
            <w:tabs>
              <w:tab w:val="clear" w:pos="720"/>
              <w:tab w:val="left" w:pos="600" w:leader="none"/>
              <w:tab w:val="right" w:pos="8630" w:leader="none"/>
            </w:tabs>
            <w:rPr>
              <w:lang w:val="en-CA"/>
            </w:rPr>
          </w:pPr>
          <w:r>
            <w:rPr>
              <w:lang w:val="en-CA"/>
            </w:rPr>
            <w:t>3.</w:t>
            <w:tab/>
            <w:t>Other Contract Terms</w:t>
            <w:tab/>
          </w:r>
          <w:hyperlink w:anchor="__RefHeading___Toc494713817">
            <w:r>
              <w:rPr>
                <w:rStyle w:val="IndexLink"/>
                <w:lang w:val="en-CA"/>
              </w:rPr>
              <w:t>16</w:t>
            </w:r>
          </w:hyperlink>
        </w:p>
        <w:p>
          <w:pPr>
            <w:pStyle w:val="TOC2"/>
            <w:tabs>
              <w:tab w:val="clear" w:pos="720"/>
              <w:tab w:val="left" w:pos="600" w:leader="none"/>
              <w:tab w:val="right" w:pos="8630" w:leader="none"/>
            </w:tabs>
            <w:rPr>
              <w:lang w:val="en-CA"/>
            </w:rPr>
          </w:pPr>
          <w:r>
            <w:rPr>
              <w:lang w:val="en-CA"/>
            </w:rPr>
            <w:t>4.</w:t>
            <w:tab/>
            <w:t>In the Event of a Disaster</w:t>
            <w:tab/>
          </w:r>
          <w:hyperlink w:anchor="__RefHeading___Toc494713818">
            <w:r>
              <w:rPr>
                <w:rStyle w:val="IndexLink"/>
                <w:lang w:val="en-CA"/>
              </w:rPr>
              <w:t>18</w:t>
            </w:r>
          </w:hyperlink>
        </w:p>
        <w:p>
          <w:pPr>
            <w:pStyle w:val="TOC1"/>
            <w:tabs>
              <w:tab w:val="clear" w:pos="720"/>
              <w:tab w:val="left" w:pos="400" w:leader="none"/>
              <w:tab w:val="right" w:pos="8630" w:leader="none"/>
            </w:tabs>
            <w:rPr>
              <w:lang w:val="en-CA"/>
            </w:rPr>
          </w:pPr>
          <w:r>
            <w:rPr>
              <w:lang w:val="en-CA"/>
            </w:rPr>
            <w:t>V.</w:t>
            <w:tab/>
          </w:r>
          <w:r>
            <w:rPr>
              <w:smallCaps/>
              <w:lang w:val="en-CA"/>
            </w:rPr>
            <w:t>The EEI Agreement</w:t>
          </w:r>
          <w:r>
            <w:rPr>
              <w:lang w:val="en-CA"/>
            </w:rPr>
            <w:tab/>
          </w:r>
          <w:hyperlink w:anchor="__RefHeading___Toc494713819">
            <w:r>
              <w:rPr>
                <w:rStyle w:val="IndexLink"/>
                <w:lang w:val="en-CA"/>
              </w:rPr>
              <w:t>22</w:t>
            </w:r>
          </w:hyperlink>
        </w:p>
        <w:p>
          <w:pPr>
            <w:pStyle w:val="TOC1"/>
            <w:tabs>
              <w:tab w:val="clear" w:pos="720"/>
              <w:tab w:val="left" w:pos="600" w:leader="none"/>
              <w:tab w:val="right" w:pos="8630" w:leader="none"/>
            </w:tabs>
            <w:rPr>
              <w:lang w:val="en-CA"/>
            </w:rPr>
          </w:pPr>
          <w:r>
            <w:rPr>
              <w:smallCaps/>
              <w:lang w:val="en-CA"/>
            </w:rPr>
            <w:t>VI.</w:t>
          </w:r>
          <w:r>
            <w:rPr>
              <w:lang w:val="en-CA"/>
            </w:rPr>
            <w:tab/>
          </w:r>
          <w:r>
            <w:rPr>
              <w:smallCaps/>
              <w:lang w:val="en-CA"/>
            </w:rPr>
            <w:t>Institutional Compliance Programs</w:t>
          </w:r>
          <w:r>
            <w:rPr>
              <w:lang w:val="en-CA"/>
            </w:rPr>
            <w:tab/>
          </w:r>
          <w:hyperlink w:anchor="__RefHeading___Toc494713820">
            <w:r>
              <w:rPr>
                <w:rStyle w:val="IndexLink"/>
                <w:lang w:val="en-CA"/>
              </w:rPr>
              <w:t>25</w:t>
            </w:r>
          </w:hyperlink>
        </w:p>
        <w:p>
          <w:pPr>
            <w:pStyle w:val="TOC1"/>
            <w:tabs>
              <w:tab w:val="clear" w:pos="720"/>
              <w:tab w:val="left" w:pos="600" w:leader="none"/>
              <w:tab w:val="right" w:pos="8630" w:leader="none"/>
            </w:tabs>
            <w:rPr>
              <w:lang w:val="en-CA"/>
            </w:rPr>
          </w:pPr>
          <w:r>
            <w:rPr>
              <w:smallCaps/>
              <w:lang w:val="en-CA"/>
            </w:rPr>
            <w:t>VII.</w:t>
          </w:r>
          <w:r>
            <w:rPr>
              <w:lang w:val="en-CA"/>
            </w:rPr>
            <w:tab/>
          </w:r>
          <w:r>
            <w:rPr>
              <w:smallCaps/>
              <w:lang w:val="en-CA"/>
            </w:rPr>
            <w:t>Conclusion</w:t>
          </w:r>
          <w:r>
            <w:rPr>
              <w:lang w:val="en-CA"/>
            </w:rPr>
            <w:tab/>
          </w:r>
          <w:hyperlink w:anchor="__RefHeading___Toc494713821">
            <w:r>
              <w:rPr>
                <w:rStyle w:val="IndexLink"/>
                <w:lang w:val="en-CA"/>
              </w:rPr>
              <w:t>27</w:t>
            </w:r>
          </w:hyperlink>
        </w:p>
        <w:p>
          <w:pPr>
            <w:pStyle w:val="TOC1"/>
            <w:tabs>
              <w:tab w:val="clear" w:pos="720"/>
              <w:tab w:val="right" w:pos="8630" w:leader="none"/>
            </w:tabs>
            <w:rPr>
              <w:lang w:val="en-CA"/>
            </w:rPr>
          </w:pPr>
          <w:r>
            <w:rPr>
              <w:smallCaps/>
              <w:lang w:val="en-CA"/>
            </w:rPr>
            <w:t>Appendix</w:t>
          </w:r>
          <w:r>
            <w:rPr>
              <w:lang w:val="en-CA"/>
            </w:rPr>
            <w:tab/>
          </w:r>
          <w:hyperlink w:anchor="__RefHeading___Toc494713822">
            <w:r>
              <w:rPr>
                <w:rStyle w:val="IndexLink"/>
                <w:lang w:val="en-CA"/>
              </w:rPr>
              <w:t>1</w:t>
            </w:r>
          </w:hyperlink>
        </w:p>
        <w:p>
          <w:pPr>
            <w:pStyle w:val="TOC2"/>
            <w:tabs>
              <w:tab w:val="clear" w:pos="720"/>
              <w:tab w:val="right" w:pos="8630" w:leader="none"/>
            </w:tabs>
            <w:rPr>
              <w:lang w:val="en-CA"/>
            </w:rPr>
          </w:pPr>
          <w:r>
            <w:rPr>
              <w:lang w:val="en-CA"/>
            </w:rPr>
            <w:t>Counterparty Sales and Purchases by Type of Counterparty</w:t>
            <w:tab/>
          </w:r>
          <w:hyperlink w:anchor="__RefHeading___Toc494713823">
            <w:r>
              <w:rPr>
                <w:rStyle w:val="IndexLink"/>
                <w:lang w:val="en-CA"/>
              </w:rPr>
              <w:t>1</w:t>
            </w:r>
          </w:hyperlink>
        </w:p>
        <w:p>
          <w:pPr>
            <w:pStyle w:val="TOC3"/>
            <w:tabs>
              <w:tab w:val="clear" w:pos="720"/>
              <w:tab w:val="right" w:pos="8630" w:leader="none"/>
            </w:tabs>
            <w:rPr>
              <w:lang w:val="en-CA"/>
            </w:rPr>
          </w:pPr>
          <w:r>
            <w:rPr>
              <w:lang w:val="en-CA"/>
            </w:rPr>
            <w:t>Sales to Marketers</w:t>
            <w:tab/>
          </w:r>
          <w:hyperlink w:anchor="__RefHeading___Toc494713824">
            <w:r>
              <w:rPr>
                <w:rStyle w:val="IndexLink"/>
                <w:lang w:val="en-CA"/>
              </w:rPr>
              <w:t>1</w:t>
            </w:r>
          </w:hyperlink>
        </w:p>
        <w:p>
          <w:pPr>
            <w:pStyle w:val="TOC3"/>
            <w:tabs>
              <w:tab w:val="clear" w:pos="720"/>
              <w:tab w:val="right" w:pos="8630" w:leader="none"/>
            </w:tabs>
            <w:rPr>
              <w:lang w:val="en-CA"/>
            </w:rPr>
          </w:pPr>
          <w:r>
            <w:rPr>
              <w:lang w:val="en-CA"/>
            </w:rPr>
            <w:t>Purchases from Marketers</w:t>
            <w:tab/>
          </w:r>
          <w:hyperlink w:anchor="__RefHeading___Toc494713825">
            <w:r>
              <w:rPr>
                <w:rStyle w:val="IndexLink"/>
                <w:lang w:val="en-CA"/>
              </w:rPr>
              <w:t>1</w:t>
            </w:r>
          </w:hyperlink>
        </w:p>
        <w:p>
          <w:pPr>
            <w:pStyle w:val="TOC2"/>
            <w:tabs>
              <w:tab w:val="clear" w:pos="720"/>
              <w:tab w:val="right" w:pos="8630" w:leader="none"/>
            </w:tabs>
            <w:rPr>
              <w:lang w:val="en-CA"/>
            </w:rPr>
          </w:pPr>
          <w:r>
            <w:rPr>
              <w:lang w:val="en-CA"/>
            </w:rPr>
            <w:t>Predicted Growth for Electronic Commerce</w:t>
            <w:tab/>
          </w:r>
          <w:hyperlink w:anchor="__RefHeading___Toc494713826">
            <w:r>
              <w:rPr>
                <w:rStyle w:val="IndexLink"/>
                <w:lang w:val="en-CA"/>
              </w:rPr>
              <w:t>2</w:t>
            </w:r>
          </w:hyperlink>
        </w:p>
        <w:p>
          <w:pPr>
            <w:pStyle w:val="TOC2"/>
            <w:tabs>
              <w:tab w:val="clear" w:pos="720"/>
              <w:tab w:val="right" w:pos="8630" w:leader="none"/>
            </w:tabs>
            <w:rPr>
              <w:lang w:val="en-CA"/>
            </w:rPr>
          </w:pPr>
          <w:r>
            <w:rPr>
              <w:lang w:val="en-CA"/>
            </w:rPr>
            <w:t>European Exchanges</w:t>
            <w:tab/>
          </w:r>
          <w:hyperlink w:anchor="__RefHeading___Toc494713827">
            <w:r>
              <w:rPr>
                <w:rStyle w:val="IndexLink"/>
                <w:lang w:val="en-CA"/>
              </w:rPr>
              <w:t>3</w:t>
            </w:r>
          </w:hyperlink>
        </w:p>
        <w:p>
          <w:pPr>
            <w:pStyle w:val="TOC2"/>
            <w:tabs>
              <w:tab w:val="clear" w:pos="720"/>
              <w:tab w:val="right" w:pos="8630" w:leader="none"/>
            </w:tabs>
            <w:rPr>
              <w:lang w:val="en-CA"/>
            </w:rPr>
          </w:pPr>
          <w:r>
            <w:rPr>
              <w:lang w:val="en-CA"/>
            </w:rPr>
            <w:t>Top 25 U.S. Power Marketer Rankings</w:t>
            <w:tab/>
          </w:r>
          <w:hyperlink w:anchor="__RefHeading___Toc494713828">
            <w:r>
              <w:rPr>
                <w:rStyle w:val="IndexLink"/>
                <w:lang w:val="en-CA"/>
              </w:rPr>
              <w:t>5</w:t>
            </w:r>
          </w:hyperlink>
        </w:p>
        <w:p>
          <w:pPr>
            <w:pStyle w:val="TOC2"/>
            <w:tabs>
              <w:tab w:val="clear" w:pos="720"/>
              <w:tab w:val="right" w:pos="8630" w:leader="none"/>
            </w:tabs>
            <w:rPr>
              <w:lang w:val="en-CA"/>
            </w:rPr>
          </w:pPr>
          <w:r>
            <w:rPr>
              <w:lang w:val="en-CA"/>
            </w:rPr>
            <w:t>Institutional Compliance – Principles</w:t>
            <w:tab/>
          </w:r>
          <w:hyperlink w:anchor="__RefHeading___Toc494713829">
            <w:r>
              <w:rPr>
                <w:rStyle w:val="IndexLink"/>
                <w:lang w:val="en-CA"/>
              </w:rPr>
              <w:t>6</w:t>
            </w:r>
          </w:hyperlink>
          <w:r>
            <w:rPr>
              <w:rStyle w:val="IndexLink"/>
              <w:lang w:val="en-CA"/>
            </w:rPr>
            <w:fldChar w:fldCharType="end"/>
          </w:r>
        </w:p>
      </w:sdtContent>
    </w:sdt>
    <w:p>
      <w:pPr>
        <w:sectPr>
          <w:footerReference w:type="default" r:id="rId4"/>
          <w:footerReference w:type="first" r:id="rId5"/>
          <w:type w:val="nextPage"/>
          <w:pgSz w:w="12240" w:h="15840"/>
          <w:pgMar w:left="1800" w:right="1800" w:gutter="0" w:header="0" w:top="1440" w:footer="720" w:bottom="1440"/>
          <w:pgNumType w:fmt="decimal"/>
          <w:formProt w:val="false"/>
          <w:vAlign w:val="center"/>
          <w:titlePg/>
          <w:textDirection w:val="lrTb"/>
          <w:docGrid w:type="default" w:linePitch="360" w:charSpace="0"/>
        </w:sectPr>
        <w:pStyle w:val="Normal"/>
        <w:spacing w:lineRule="auto" w:line="360"/>
        <w:rPr>
          <w:rFonts w:ascii="Arial" w:hAnsi="Arial" w:cs="Arial"/>
          <w:b/>
          <w:caps/>
          <w:lang w:val="en-CA"/>
        </w:rPr>
      </w:pPr>
      <w:r>
        <w:rPr>
          <w:rFonts w:cs="Arial" w:ascii="Arial" w:hAnsi="Arial"/>
          <w:b/>
          <w:caps/>
          <w:lang w:val="en-CA"/>
        </w:rPr>
      </w:r>
    </w:p>
    <w:p>
      <w:pPr>
        <w:pStyle w:val="Normal"/>
        <w:spacing w:lineRule="auto" w:line="360"/>
        <w:jc w:val="center"/>
        <w:rPr>
          <w:smallCaps/>
          <w:sz w:val="32"/>
        </w:rPr>
      </w:pPr>
      <w:r>
        <w:rPr>
          <w:b/>
          <w:smallCaps/>
          <w:sz w:val="32"/>
        </w:rPr>
        <w:t>Introduction to Wholesale Power Trading</w:t>
      </w:r>
      <w:r>
        <w:fldChar w:fldCharType="begin"/>
      </w:r>
      <w:r>
        <w:rPr/>
        <w:instrText xml:space="preserve"> TC "Introduction to Wholesale Power Trading" \l 1 </w:instrText>
      </w:r>
      <w:r>
        <w:rPr/>
        <w:fldChar w:fldCharType="separate"/>
      </w:r>
      <w:r>
        <w:rPr/>
      </w:r>
      <w:r>
        <w:rPr/>
        <w:fldChar w:fldCharType="end"/>
      </w:r>
      <w:bookmarkStart w:id="0" w:name="__RefHeading___Toc494713810"/>
      <w:bookmarkEnd w:id="0"/>
    </w:p>
    <w:p>
      <w:pPr>
        <w:pStyle w:val="Normal"/>
        <w:spacing w:lineRule="auto" w:line="360"/>
        <w:rPr>
          <w:smallCaps/>
          <w:sz w:val="32"/>
        </w:rPr>
      </w:pPr>
      <w:r>
        <w:rPr>
          <w:smallCaps/>
          <w:sz w:val="32"/>
        </w:rPr>
      </w:r>
    </w:p>
    <w:p>
      <w:pPr>
        <w:pStyle w:val="Normal"/>
        <w:spacing w:lineRule="auto" w:line="360"/>
        <w:rPr/>
      </w:pPr>
      <w:r>
        <w:rPr>
          <w:smallCaps/>
        </w:rPr>
        <w:tab/>
      </w:r>
      <w:r>
        <w:rPr/>
        <w:t>The deregulation of the electric power industry in the United States has led to the development of the most active wholesale electricity trading market in the world.  Despite its growth over the past decade, power trading remains an unstructured and volatile enterprise and the market is evolving a variety of measures to provide information efficiencies and pricing transparencies to facilitate competitive power transactions.</w:t>
      </w:r>
    </w:p>
    <w:p>
      <w:pPr>
        <w:pStyle w:val="Normal"/>
        <w:spacing w:lineRule="auto" w:line="360"/>
        <w:rPr/>
      </w:pPr>
      <w:r>
        <w:rPr/>
        <w:tab/>
        <w:t>This paper examines the development of the wholesale power trading market in the United States and the legal risks inherent in this business.  Although the market has developed certain risk mitigation devices, deregulation and demand for electricity have outpaced the demonstrable utility of such measures and uncertainties continue to prevail in all market conditions.  A careful assessment of the legal risks of trading is critical to any evaluation of the economic benefits of being involved in the business of wholesale power trading.</w:t>
      </w:r>
    </w:p>
    <w:p>
      <w:pPr>
        <w:pStyle w:val="Normal"/>
        <w:spacing w:lineRule="auto" w:line="360"/>
        <w:rPr/>
      </w:pPr>
      <w:r>
        <w:rPr/>
        <w:tab/>
        <w:t xml:space="preserve">In summary, the power markets of the United States are in a state of flux.  Deregulation proceeds at a state-by-state level and prospects for unitary and comprehensive legislation at a national level appear dim.  Wholesale markets are active but constrained.  Retail market competition is nascent.  The only certainty is that demand will grow.  Power trading has attracted hundreds of market players, yet few are profitable.  In an effort to facilitate the development of liquidity in the market, the industry has produced a standardized trading contract that is gradually gaining currency.  Power exchanges are being established to further commoditize electricity and to provide standardized, tradeable instruments.  Not surprisingly, the internet is a key component of the strategy to expand and enhance trading.  Web-based exchanges and b2b commerce websites are proliferating.  </w:t>
      </w:r>
    </w:p>
    <w:p>
      <w:pPr>
        <w:pStyle w:val="Normal"/>
        <w:spacing w:lineRule="auto" w:line="360"/>
        <w:ind w:firstLine="720" w:end="0"/>
        <w:rPr/>
      </w:pPr>
      <w:r>
        <w:rPr/>
        <w:t>While the United States grapples with competitive electricity sales, the onset of deregulation in Europe may be instructive as a laboratory for additional competitive experimentation.  As member nations deregulate their power markets pursuant to European Union directive, the experience of the legal framework necessary to execute a sustainable power trading strategy in the United States will be transferred to European markets.</w:t>
      </w:r>
    </w:p>
    <w:p>
      <w:pPr>
        <w:pStyle w:val="Normal"/>
        <w:spacing w:lineRule="auto" w:line="360"/>
        <w:rPr/>
      </w:pPr>
      <w:r>
        <w:rPr/>
      </w:r>
    </w:p>
    <w:p>
      <w:pPr>
        <w:pStyle w:val="Normal"/>
        <w:keepNext w:val="true"/>
        <w:keepLines/>
        <w:widowControl w:val="false"/>
        <w:spacing w:lineRule="auto" w:line="360"/>
        <w:jc w:val="center"/>
        <w:rPr/>
      </w:pPr>
      <w:r>
        <w:rPr>
          <w:b/>
          <w:smallCaps/>
          <w:sz w:val="32"/>
        </w:rPr>
        <w:t>I.</w:t>
        <w:tab/>
        <w:t>Trading in the US Electricity Market</w:t>
      </w:r>
      <w:r>
        <w:fldChar w:fldCharType="begin"/>
      </w:r>
      <w:r>
        <w:rPr/>
        <w:instrText xml:space="preserve"> TC "I.</w:instrText>
        <w:tab/>
        <w:instrText xml:space="preserve">Trading in the US Electricity Market" \l 1 </w:instrText>
      </w:r>
      <w:r>
        <w:rPr/>
        <w:fldChar w:fldCharType="separate"/>
      </w:r>
      <w:r>
        <w:rPr/>
      </w:r>
      <w:r>
        <w:rPr/>
        <w:fldChar w:fldCharType="end"/>
      </w:r>
      <w:bookmarkStart w:id="1" w:name="__RefHeading___Toc494713811"/>
      <w:bookmarkEnd w:id="1"/>
    </w:p>
    <w:p>
      <w:pPr>
        <w:pStyle w:val="Normal"/>
        <w:keepNext w:val="true"/>
        <w:keepLines/>
        <w:widowControl w:val="false"/>
        <w:spacing w:lineRule="auto" w:line="360"/>
        <w:jc w:val="center"/>
        <w:rPr/>
      </w:pPr>
      <w:r>
        <w:rPr/>
      </w:r>
    </w:p>
    <w:p>
      <w:pPr>
        <w:pStyle w:val="Normal"/>
        <w:keepNext w:val="true"/>
        <w:keepLines/>
        <w:widowControl w:val="false"/>
        <w:spacing w:lineRule="auto" w:line="360"/>
        <w:rPr/>
      </w:pPr>
      <w:r>
        <w:rPr/>
        <w:tab/>
        <w:t>The wholesale electricity trading market in the United States is growing rapidly.  The interest in trading is related to the removal in 1992 of federal regulatory constraints and to the growth of demand for electricity generally.  Projections run as high as 300 gigawatts of new generation by 2020 as aggregate demand rises annually by 2%.</w:t>
      </w:r>
      <w:r>
        <w:rPr>
          <w:rStyle w:val="FootnoteCharacters"/>
          <w:rStyle w:val="FootnoteReference"/>
        </w:rPr>
        <w:footnoteReference w:id="2"/>
      </w:r>
      <w:r>
        <w:rPr/>
        <w:t xml:space="preserve">  Independent power production accounts for up to 45% of the more than 189,000 MW of announced capacity; the top ten independent developers have proposed 86,000 MW, at a cost of approximately $20 billion, of which 23,393 MW (or 27%) was under construction as of May 2000.</w:t>
      </w:r>
      <w:r>
        <w:rPr>
          <w:rStyle w:val="FootnoteCharacters"/>
          <w:rStyle w:val="FootnoteReference"/>
        </w:rPr>
        <w:footnoteReference w:id="3"/>
      </w:r>
      <w:r>
        <w:rPr/>
        <w:t xml:space="preserve">  The top 25 developers control over 70% of new capacity under development.</w:t>
      </w:r>
      <w:r>
        <w:rPr>
          <w:rStyle w:val="FootnoteCharacters"/>
          <w:rStyle w:val="FootnoteReference"/>
        </w:rPr>
        <w:footnoteReference w:id="4"/>
      </w:r>
    </w:p>
    <w:p>
      <w:pPr>
        <w:pStyle w:val="Normal"/>
        <w:keepNext w:val="true"/>
        <w:keepLines/>
        <w:widowControl w:val="false"/>
        <w:spacing w:lineRule="auto" w:line="360"/>
        <w:rPr/>
      </w:pPr>
      <w:r>
        <w:rPr/>
      </w:r>
    </w:p>
    <w:p>
      <w:pPr>
        <w:pStyle w:val="Normal"/>
        <w:keepNext w:val="true"/>
        <w:keepLines/>
        <w:widowControl w:val="false"/>
        <w:spacing w:lineRule="auto" w:line="360"/>
        <w:rPr/>
      </w:pPr>
      <w:r>
        <w:rPr/>
        <w:tab/>
      </w:r>
      <w:r>
        <w:rPr>
          <w:b/>
        </w:rPr>
        <w:t>Retail Sales:</w:t>
      </w:r>
    </w:p>
    <w:p>
      <w:pPr>
        <w:pStyle w:val="Normal"/>
        <w:spacing w:lineRule="auto" w:line="360"/>
        <w:rPr/>
      </w:pPr>
      <w:r>
        <w:rPr/>
        <w:tab/>
        <w:t>The retail market for power sales is estimated to amount to $80 billion annually, represented by 116 million electricity users.</w:t>
      </w:r>
      <w:r>
        <w:rPr>
          <w:rStyle w:val="FootnoteCharacters"/>
          <w:rStyle w:val="FootnoteReference"/>
        </w:rPr>
        <w:footnoteReference w:id="5"/>
      </w:r>
      <w:r>
        <w:rPr/>
        <w:t xml:space="preserve">   Total sales to ultimate consumers in the United States during January 2000 were 286 billion kWh, representing a 1% increase over the same period in 1999.</w:t>
      </w:r>
      <w:r>
        <w:rPr>
          <w:rStyle w:val="FootnoteCharacters"/>
          <w:rStyle w:val="FootnoteReference"/>
        </w:rPr>
        <w:footnoteReference w:id="6"/>
      </w:r>
      <w:r>
        <w:rPr/>
        <w:t xml:space="preserve">  Although retail competition is underway in several states, a nation-wide retail mandate is not expected in the near term. More than half the states are expected to offer some level of customer choice by 2002.</w:t>
      </w:r>
      <w:r>
        <w:rPr>
          <w:rStyle w:val="FootnoteCharacters"/>
          <w:rStyle w:val="FootnoteReference"/>
        </w:rPr>
        <w:footnoteReference w:id="7"/>
      </w:r>
      <w:r>
        <w:rPr/>
        <w:t xml:space="preserve">  The attractiveness to customers of retail choice has not been fully tested, as government-sanctioned imposition of transition charges on switching customers distort the market.  As of 1999, only 1% of retail, end-use customers who had a choice had elected to switch their power supplier.  By contrast, a survey of 1,400 businesses with electricity bills in excess of $3,000 per year indicated that 33% of such consumers had changed or reevaluated their electricity supply.</w:t>
      </w:r>
      <w:r>
        <w:rPr>
          <w:rStyle w:val="FootnoteCharacters"/>
          <w:rStyle w:val="FootnoteReference"/>
        </w:rPr>
        <w:footnoteReference w:id="8"/>
      </w:r>
      <w:r>
        <w:rPr/>
        <w:t xml:space="preserve">  Pennsylvania is the leading retail market, claiming a total retail marketing volume of 8.4 million MWh in the 4</w:t>
      </w:r>
      <w:r>
        <w:rPr>
          <w:vertAlign w:val="superscript"/>
        </w:rPr>
        <w:t>th</w:t>
      </w:r>
      <w:r>
        <w:rPr/>
        <w:t xml:space="preserve"> quarter of 1999, compared to 3.4 million MWh traded in California.  According to the Energy Information Administration (EIA) of the United States Department of Energy, a total of 18.1 million MWh were traded at the retail level in the United States during the 4</w:t>
      </w:r>
      <w:r>
        <w:rPr>
          <w:vertAlign w:val="superscript"/>
        </w:rPr>
        <w:t>th</w:t>
      </w:r>
      <w:r>
        <w:rPr/>
        <w:t xml:space="preserve"> quarter of 1999, representing 2.1% of total electricity sales during that period.</w:t>
      </w:r>
      <w:r>
        <w:rPr>
          <w:rStyle w:val="FootnoteCharacters"/>
          <w:rStyle w:val="FootnoteReference"/>
        </w:rPr>
        <w:footnoteReference w:id="9"/>
      </w:r>
    </w:p>
    <w:p>
      <w:pPr>
        <w:pStyle w:val="Normal"/>
        <w:spacing w:lineRule="auto" w:line="360"/>
        <w:rPr/>
      </w:pPr>
      <w:r>
        <w:rPr/>
      </w:r>
    </w:p>
    <w:p>
      <w:pPr>
        <w:pStyle w:val="Normal"/>
        <w:spacing w:lineRule="auto" w:line="360"/>
        <w:rPr/>
      </w:pPr>
      <w:r>
        <w:rPr/>
        <w:tab/>
      </w:r>
      <w:r>
        <w:rPr>
          <w:b/>
        </w:rPr>
        <w:t>Retail to Wholesale Sales:</w:t>
      </w:r>
    </w:p>
    <w:p>
      <w:pPr>
        <w:pStyle w:val="Normal"/>
        <w:spacing w:lineRule="auto" w:line="360"/>
        <w:rPr/>
      </w:pPr>
      <w:r>
        <w:rPr/>
        <w:tab/>
        <w:t xml:space="preserve">Deregulation at the state level and differences in supply and demand are the prime movers behind the development of merchant capacity.  Merchant plants, which do not rely on long-term power purchase contracts for their output, must produce cheap power that is sold on an open market.  Price and competitiveness are the </w:t>
      </w:r>
      <w:r>
        <w:rPr>
          <w:i/>
        </w:rPr>
        <w:t>sine qua non</w:t>
      </w:r>
      <w:r>
        <w:rPr/>
        <w:t xml:space="preserve"> of merchant power development.  As a sign of the direction in which the wholesale market is proceeding, over 150 gigawatts of new merchant capacity, representing about 20% of existing capacity in the United States, is currently either planned or in construction, according to recent estimates.</w:t>
      </w:r>
      <w:r>
        <w:rPr>
          <w:rStyle w:val="FootnoteCharacters"/>
          <w:rStyle w:val="FootnoteReference"/>
        </w:rPr>
        <w:footnoteReference w:id="10"/>
      </w:r>
    </w:p>
    <w:p>
      <w:pPr>
        <w:pStyle w:val="Normal"/>
        <w:spacing w:lineRule="auto" w:line="360"/>
        <w:rPr/>
      </w:pPr>
      <w:r>
        <w:rPr/>
        <w:tab/>
        <w:t>The deregulation of the wholesale electricity market by the federal government in 1992 caused power trading and marketing to increase dramatically.  In 1996, power marketers sold 231.8 million MWh of electricity; by the 3</w:t>
      </w:r>
      <w:r>
        <w:rPr>
          <w:vertAlign w:val="superscript"/>
        </w:rPr>
        <w:t>rd</w:t>
      </w:r>
      <w:r>
        <w:rPr/>
        <w:t xml:space="preserve"> quarter of 1999, the marketed volume had increased by almost 800% to 1.9 billion MWh.</w:t>
      </w:r>
      <w:r>
        <w:rPr>
          <w:rStyle w:val="FootnoteCharacters"/>
          <w:rStyle w:val="FootnoteReference"/>
        </w:rPr>
        <w:footnoteReference w:id="11"/>
      </w:r>
      <w:r>
        <w:rPr/>
        <w:t xml:space="preserve">  The market initially attracted traders with experience in gas trading who had developed their expertise in the US gas markets, which were deregulated in the mid-1980s.  The market currently involves hundreds of participants.  The Federal Energy Regulatory Commission (FERC), which licenses wholesale power marketers, reportedly has approved over 700 marketers.  But active trading remains the province only of a relative handful of marketers.  In 1998 (the last year for which data is available), 49 marketers reported sales at the retail level and 111 reported wholesales sales.</w:t>
      </w:r>
      <w:r>
        <w:rPr>
          <w:rStyle w:val="FootnoteCharacters"/>
          <w:rStyle w:val="FootnoteReference"/>
        </w:rPr>
        <w:footnoteReference w:id="12"/>
      </w:r>
    </w:p>
    <w:p>
      <w:pPr>
        <w:pStyle w:val="Normal"/>
        <w:spacing w:lineRule="auto" w:line="360"/>
        <w:rPr/>
      </w:pPr>
      <w:r>
        <w:rPr/>
        <w:tab/>
        <w:t>Power marketers are increasingly looking to stand-alone non-utility generation, such as merchant capacity, to provide the electricity for wholesale sales.  The EIA found that non-utility generation equaled 55 billion kWh of the US net generation capacity of 265 billion kWh (20.7%) as of January 2000, compared to approximately 13% in 1998.  According to PricewaterhouseCoopers, power marketing backed by, and integrated with, an assets management strategy is increasingly becoming the preferred strategic response to the deregulating market. The pairing of Koch Industries, Inc. and Entergy Corporation is a typical example.  Their joint venture, Entergy Koch L.P. will deliver, market and trade electricity, gas, weather derivatives and related energy products, relying on the natural gas pipelines and trading expertise of Koch, backed by Entergy’s 30 generation units.</w:t>
      </w:r>
      <w:r>
        <w:rPr>
          <w:rStyle w:val="FootnoteCharacters"/>
          <w:rStyle w:val="FootnoteReference"/>
        </w:rPr>
        <w:footnoteReference w:id="13"/>
      </w:r>
      <w:r>
        <w:rPr/>
        <w:t xml:space="preserve">  A global survey encompassing 14 countries revealed that 17% of the respondents participate in electricity trading.  Additionally, 69% expect to extend the scope of their trading activities across geographical boundaries in the near term.</w:t>
      </w:r>
      <w:r>
        <w:rPr>
          <w:rStyle w:val="FootnoteCharacters"/>
          <w:rStyle w:val="FootnoteReference"/>
        </w:rPr>
        <w:footnoteReference w:id="14"/>
      </w:r>
    </w:p>
    <w:p>
      <w:pPr>
        <w:pStyle w:val="Normal"/>
        <w:spacing w:lineRule="auto" w:line="360"/>
        <w:rPr/>
      </w:pPr>
      <w:r>
        <w:rPr/>
        <w:tab/>
        <w:t>Wholesale power trading occurs in a variety of contexts, with varying levels of risks.  Power may be traded as a commodity using standardized instruments through a futures exchange, or it may be transacted bilaterally through the exchange of over-the-counter (OTC) contracts.  Exchanges, such as the New York Mercantile Exchange (NYMEX) and the California Power Exchange are regulated and offer an institutional framework for trading.  Prices also tend to be more secure and price discovery more transparent.  Bilateral OTC trading, by contrast, directly involves the buying and selling parties.  OTC trading also typically is shorter term, often conducted on a day-ahead or hour-ahead basis.  Bilateral contracts are less price-secure because they are subject to the creditworthiness of the parties.</w:t>
      </w:r>
    </w:p>
    <w:p>
      <w:pPr>
        <w:pStyle w:val="Normal"/>
        <w:spacing w:lineRule="auto" w:line="360"/>
        <w:rPr/>
      </w:pPr>
      <w:r>
        <w:rPr/>
      </w:r>
    </w:p>
    <w:p>
      <w:pPr>
        <w:pStyle w:val="Normal"/>
        <w:keepNext w:val="true"/>
        <w:keepLines/>
        <w:widowControl w:val="false"/>
        <w:spacing w:lineRule="auto" w:line="360"/>
        <w:jc w:val="center"/>
        <w:rPr/>
      </w:pPr>
      <w:r>
        <w:rPr>
          <w:b/>
          <w:smallCaps/>
          <w:sz w:val="32"/>
        </w:rPr>
        <w:t>II.</w:t>
        <w:tab/>
        <w:t>Trading</w:t>
      </w:r>
      <w:r>
        <w:fldChar w:fldCharType="begin"/>
      </w:r>
      <w:r>
        <w:rPr/>
        <w:instrText xml:space="preserve"> TC "II.</w:instrText>
        <w:tab/>
        <w:instrText xml:space="preserve">Trading" \l 1 </w:instrText>
      </w:r>
      <w:r>
        <w:rPr/>
        <w:fldChar w:fldCharType="separate"/>
      </w:r>
      <w:r>
        <w:rPr/>
      </w:r>
      <w:r>
        <w:rPr/>
        <w:fldChar w:fldCharType="end"/>
      </w:r>
      <w:bookmarkStart w:id="2" w:name="__RefHeading___Toc494713812"/>
      <w:bookmarkEnd w:id="2"/>
    </w:p>
    <w:p>
      <w:pPr>
        <w:pStyle w:val="Normal"/>
        <w:keepNext w:val="true"/>
        <w:keepLines/>
        <w:widowControl w:val="false"/>
        <w:spacing w:lineRule="auto" w:line="360"/>
        <w:rPr/>
      </w:pPr>
      <w:r>
        <w:rPr/>
      </w:r>
    </w:p>
    <w:p>
      <w:pPr>
        <w:pStyle w:val="Normal"/>
        <w:keepNext w:val="true"/>
        <w:keepLines/>
        <w:widowControl w:val="false"/>
        <w:spacing w:lineRule="auto" w:line="360"/>
        <w:rPr/>
      </w:pPr>
      <w:r>
        <w:rPr/>
        <w:tab/>
        <w:t xml:space="preserve">Power trading, like any commodity trading activity, depends for its economic viability on the management of risk and the liquidity of the market.  The key element of risk in power trading is price.  Price risk can be managed through the deployment of financial tools.  Unlike other commodities, power cannot be stored and the risk of non-delivery must be accommodated in a different manner.  Electricity is instantaneous; the physical risks associated with power trading must be mitigated by traders’ knowledge of the physical markets and the viability of purchase and sale commitments.  </w:t>
      </w:r>
    </w:p>
    <w:p>
      <w:pPr>
        <w:pStyle w:val="Normal"/>
        <w:spacing w:lineRule="auto" w:line="360"/>
        <w:rPr/>
      </w:pPr>
      <w:r>
        <w:rPr/>
        <w:tab/>
        <w:t>A typical power trading strategy seeks to reap the cost differences between markets where demand is low and those areas where demand is great.  A trader attempts to develop a variety of sources from which to purchase power quickly and at known prices in order to execute rapid sales in high-price markets.  A trader may develop strategies to exploit inter-regional disparities in costs and stockpile contractual commitments to sell power at certain prices, which commitments can be drawn upon on short notice to effect sales.</w:t>
      </w:r>
    </w:p>
    <w:p>
      <w:pPr>
        <w:pStyle w:val="Normal"/>
        <w:spacing w:lineRule="auto" w:line="360"/>
        <w:rPr/>
      </w:pPr>
      <w:r>
        <w:rPr/>
        <w:tab/>
        <w:t>The experience in the US of severe price spikes in the summer of 1998 (and again in the summer of 1999) caused a number of power marketers to reassess their ability to conduct business.  Approximately 48 marketers exited the market in 1998 after power prices surged from a typical $30-40 per MWh to $7,500 per MWh.</w:t>
      </w:r>
      <w:r>
        <w:rPr>
          <w:rStyle w:val="FootnoteCharacters"/>
          <w:rStyle w:val="FootnoteReference"/>
        </w:rPr>
        <w:footnoteReference w:id="15"/>
      </w:r>
      <w:r>
        <w:rPr/>
        <w:t xml:space="preserve">  Traders who made commitments to supply power were forced either to default on their supply obligations or to purchase exorbitantly costly power.  As a result, traders realized that a successful operation requires substantial capital for support.  The best positioned traders are now those that have a national presence and experience in evaluating and negotiating deregulated markets.  Successful traders must have the ability to manage price volatility and to ameliorate risk by diversifying their sources of supply.</w:t>
      </w:r>
    </w:p>
    <w:p>
      <w:pPr>
        <w:pStyle w:val="Normal"/>
        <w:spacing w:lineRule="auto" w:line="360"/>
        <w:rPr/>
      </w:pPr>
      <w:r>
        <w:rPr/>
        <w:tab/>
        <w:t>Aside from the economic and market risks, traders must be supported by a comprehensive legal risk assessment.  Some of the legal issues associated with power trading are described more fully in Section IV of this paper.</w:t>
      </w:r>
    </w:p>
    <w:p>
      <w:pPr>
        <w:pStyle w:val="Normal"/>
        <w:spacing w:lineRule="auto" w:line="360"/>
        <w:rPr/>
      </w:pPr>
      <w:r>
        <w:rPr/>
      </w:r>
    </w:p>
    <w:p>
      <w:pPr>
        <w:pStyle w:val="Normal"/>
        <w:spacing w:lineRule="auto" w:line="360"/>
        <w:rPr/>
      </w:pPr>
      <w:r>
        <w:rPr/>
        <w:tab/>
      </w:r>
      <w:r>
        <w:rPr>
          <w:b/>
        </w:rPr>
        <w:t>Power Exchanges:</w:t>
      </w:r>
    </w:p>
    <w:p>
      <w:pPr>
        <w:pStyle w:val="Normal"/>
        <w:spacing w:lineRule="auto" w:line="360"/>
        <w:rPr/>
      </w:pPr>
      <w:r>
        <w:rPr/>
        <w:tab/>
        <w:t>Power exchanges are developing globally to facilitate power trading.  Exchanges facilitate the trading of physical commodities and financial derivatives or futures instruments.  The growth in the physical market (relating to the actual delivery of power) is approximately 2% per year.  The physical market is projected to grow to $70 billion annually, whereas the futures market could rise to $2.5 trillion per year.</w:t>
      </w:r>
      <w:r>
        <w:rPr>
          <w:rStyle w:val="FootnoteCharacters"/>
          <w:rStyle w:val="FootnoteReference"/>
        </w:rPr>
        <w:footnoteReference w:id="16"/>
      </w:r>
    </w:p>
    <w:p>
      <w:pPr>
        <w:pStyle w:val="Normal"/>
        <w:spacing w:lineRule="auto" w:line="360"/>
        <w:rPr/>
      </w:pPr>
      <w:r>
        <w:rPr/>
        <w:tab/>
        <w:t xml:space="preserve">The two largest officially authorized public physical markets in the US are the California Power Exchange and the PJM Interconnection, which covers the mid-Atlantic region.  Other authorized markets or “pools” operate in New England, New York and the Mid-West.  FERC has mandated that every regulated public utility in the US which owns transmission lines must be a member of a power pool before 2001.  Each power pool serves as a host for bids from buyers and sellers of power and establishes a price.  California-regulated utilities are obligated to purchase power from the California Power Exchange, thereby artificially establishing an exchange market, and potentially distorting price.  However, the pools provide an institutional framework for physical trading and for facilitating price  transparency.  The power pools currently do not offer much more than day-ahead, hour-ahead trades, though successful pools ultimately are expected to offer a range of short and long-term physical products, financial products and the ability to clear bilateral trades.  Over time and as the markets mature and become more efficient, particularly as transmission constraints are eased, pools will become more liquid and inter-regional price disparities should diminish.  Trading may then be conducted on a national and continental basis. </w:t>
      </w:r>
    </w:p>
    <w:p>
      <w:pPr>
        <w:pStyle w:val="Normal"/>
        <w:spacing w:lineRule="auto" w:line="360"/>
        <w:rPr/>
      </w:pPr>
      <w:r>
        <w:rPr/>
        <w:tab/>
        <w:t>In continental Europe, the Oslo-based NordPool and Amsterdam Power Exchange have been operational for some time.  Spot and futures markets are developing mainly as a backup (not replacement) for the prevailing bilateral contracting method of power sales.  The establishment of a spot market has been more difficult as prices have fallen significantly and a spot market would further exacerbate the price decline.  In addition, transmission constraints also make spot transactions more risky.  Consequently, the exchanges have suffered a lack of liquidity as not enough power is made available for trading.  Up to 20-25% of the power in Germany (amounting to $10 billion in annual sales) may be traded on German spot markets, if such markets are permitted to function freely.</w:t>
      </w:r>
      <w:r>
        <w:rPr>
          <w:rStyle w:val="FootnoteCharacters"/>
          <w:rStyle w:val="FootnoteReference"/>
        </w:rPr>
        <w:footnoteReference w:id="17"/>
      </w:r>
      <w:r>
        <w:rPr/>
        <w:t xml:space="preserve">  Futures exchanges, permitting hedging transactions, may be a more attractive alternative in many European markets.   </w:t>
      </w:r>
    </w:p>
    <w:p>
      <w:pPr>
        <w:pStyle w:val="Normal"/>
        <w:spacing w:lineRule="auto" w:line="360"/>
        <w:rPr/>
      </w:pPr>
      <w:r>
        <w:rPr/>
        <w:tab/>
        <w:t>NordPool, hosting 264 market participants, serves markets in Norway, Sweden, Finland and Denmark.  In 1999, a total of 291 TWh, representing a value of approximately $4.2 billion was traded through NordPool.  More than 20% of total consumption of electric power in the Nordic countries was traded via NordPool.  In addition, the exchange cleared 684 TWh of OTC power.</w:t>
      </w:r>
      <w:r>
        <w:rPr>
          <w:rStyle w:val="FootnoteCharacters"/>
          <w:rStyle w:val="FootnoteReference"/>
        </w:rPr>
        <w:footnoteReference w:id="18"/>
      </w:r>
    </w:p>
    <w:p>
      <w:pPr>
        <w:pStyle w:val="Normal"/>
        <w:spacing w:lineRule="auto" w:line="360"/>
        <w:rPr/>
      </w:pPr>
      <w:r>
        <w:rPr/>
      </w:r>
    </w:p>
    <w:p>
      <w:pPr>
        <w:pStyle w:val="Normal"/>
        <w:spacing w:lineRule="auto" w:line="360"/>
        <w:rPr/>
      </w:pPr>
      <w:r>
        <w:rPr/>
        <w:tab/>
      </w:r>
      <w:r>
        <w:rPr>
          <w:b/>
        </w:rPr>
        <w:t>Web Applications:</w:t>
      </w:r>
    </w:p>
    <w:p>
      <w:pPr>
        <w:pStyle w:val="Normal"/>
        <w:spacing w:lineRule="auto" w:line="360"/>
        <w:rPr/>
      </w:pPr>
      <w:r>
        <w:rPr/>
        <w:tab/>
        <w:t>A recent poll of oil, gas and electricity traders worldwide revealed that 67% of the traders surveyed feared that, owing to deregulation uncertainties and the immaturity of markets, electric power trading would experience the greatest volatility among tradeable energy commodities. Information regarding transmission pricing and congestion management is paramount and sources of information, such as the internet, are increasingly being used also to gather real-time and credit information.</w:t>
      </w:r>
      <w:r>
        <w:rPr>
          <w:rStyle w:val="FootnoteCharacters"/>
          <w:rStyle w:val="FootnoteReference"/>
        </w:rPr>
        <w:footnoteReference w:id="19"/>
      </w:r>
      <w:r>
        <w:rPr/>
        <w:t xml:space="preserve"> The chief antidote to market risk is information; 44% of a trader’s time, on average, is spent collecting, reviewing and analyzing information. Traders expect an overall 72% increase in their use of the internet over the next 3 years, and estimate spending approximately 2.3 hours per day online.</w:t>
      </w:r>
    </w:p>
    <w:p>
      <w:pPr>
        <w:pStyle w:val="Normal"/>
        <w:spacing w:lineRule="auto" w:line="360"/>
        <w:rPr/>
      </w:pPr>
      <w:r>
        <w:rPr/>
        <w:tab/>
        <w:t>The internet is ideally suited to power trading.  Internet applications are instantaneous and permit real-time exchanges of data and other information.  Publicly available information is not always reliable, but government sources and subscription-based services are generally deemed to be more useful.  Web-based trading is a relatively recent phenomenon and accounted for approximately 0.2% of power trading in 1999 (with an estimated value of $11 billion).  Online trading of power is expected to rise 550-fold to 11% by 2004, to a value of $266 billion.</w:t>
      </w:r>
      <w:r>
        <w:rPr>
          <w:rStyle w:val="FootnoteCharacters"/>
          <w:rStyle w:val="FootnoteReference"/>
        </w:rPr>
        <w:footnoteReference w:id="20"/>
      </w:r>
    </w:p>
    <w:p>
      <w:pPr>
        <w:pStyle w:val="Normal"/>
        <w:spacing w:lineRule="auto" w:line="360"/>
        <w:rPr/>
      </w:pPr>
      <w:r>
        <w:rPr/>
        <w:tab/>
        <w:t>Web-based applications are proliferating.  A spate of announcements this year reflect a growing determination to use the internet to facilitate or conduct power trading and other energy business transactions. EnronOnline.com reported 70,000 transactions in its first four months of operations.  EnronOnline differs from other electronic markets in that the company is itself a party to each transaction offered online.  The company claims that its overall energy trade volume increased by 53% as a result of its internet-based trading and that 27% of its wholesale trades, with a value of $27 billion, were conducted online. Enron has announced plans to conduct similar operations in Japan, Australia and Norway.</w:t>
      </w:r>
      <w:r>
        <w:rPr>
          <w:rStyle w:val="FootnoteCharacters"/>
          <w:rStyle w:val="FootnoteReference"/>
        </w:rPr>
        <w:footnoteReference w:id="21"/>
      </w:r>
    </w:p>
    <w:p>
      <w:pPr>
        <w:pStyle w:val="Normal"/>
        <w:spacing w:lineRule="auto" w:line="360"/>
        <w:rPr/>
      </w:pPr>
      <w:r>
        <w:rPr/>
        <w:tab/>
        <w:t>Altrade, a rival real-time, anonymous internet power trading marketplace, commenced service in October 1999 and achieved liquidity in its first two days.  As of April 2000, 340 traders had participated and the daily volume of bids and offers has exceeded 4,500.</w:t>
      </w:r>
      <w:r>
        <w:rPr>
          <w:rStyle w:val="FootnoteCharacters"/>
          <w:rStyle w:val="FootnoteReference"/>
        </w:rPr>
        <w:footnoteReference w:id="22"/>
      </w:r>
      <w:r>
        <w:rPr/>
        <w:t xml:space="preserve">  The company reported transactions valued at $2.6 billion in March 2000 alone.  Altrade is reportedly in negotiations with several energy concerns to establish a b2b and OTC trading platform.  The other companies represent 37% of the wholesale electricity trading market and a market capitalization of $61 billion.</w:t>
      </w:r>
      <w:r>
        <w:rPr>
          <w:rStyle w:val="FootnoteCharacters"/>
          <w:rStyle w:val="FootnoteReference"/>
        </w:rPr>
        <w:footnoteReference w:id="23"/>
      </w:r>
      <w:r>
        <w:rPr/>
        <w:t xml:space="preserve">  The platform is intended to list bids and offers from all participants, unlike EnronOnline.</w:t>
      </w:r>
    </w:p>
    <w:p>
      <w:pPr>
        <w:pStyle w:val="Normal"/>
        <w:spacing w:lineRule="auto" w:line="360"/>
        <w:rPr/>
      </w:pPr>
      <w:r>
        <w:rPr/>
        <w:tab/>
        <w:t>In Britain, the UK Power Exchange, an online power trading market went into operation on June 5, 2000.  The exchange is owned by OM, operator of the Stockholm stock exchange (and aspiring purchaser of the London Stock Exchange), and claims that up to 20% of the $10 billion British electricity market could be traded through online transactions.</w:t>
      </w:r>
      <w:r>
        <w:rPr>
          <w:rStyle w:val="FootnoteCharacters"/>
          <w:rStyle w:val="FootnoteReference"/>
        </w:rPr>
        <w:footnoteReference w:id="24"/>
      </w:r>
      <w:r>
        <w:rPr/>
        <w:t xml:space="preserve">  The exchange will trade forward contracts of up to 18 months ahead, and a spot market is expected to be introduced after the new British electricity trading arrangements are introduced in January 2001.  Twenty contracts, with a combined value of approximately $764,000 were traded on the first day.  Meanwhile, the Virgin Group has agreed with London Electricity to sell power and gas on the internet to residential customers starting during the summer of 2000.</w:t>
      </w:r>
      <w:r>
        <w:rPr>
          <w:rStyle w:val="FootnoteCharacters"/>
          <w:rStyle w:val="FootnoteReference"/>
        </w:rPr>
        <w:footnoteReference w:id="25"/>
      </w:r>
    </w:p>
    <w:p>
      <w:pPr>
        <w:pStyle w:val="Normal"/>
        <w:spacing w:lineRule="auto" w:line="360"/>
        <w:rPr/>
      </w:pPr>
      <w:r>
        <w:rPr/>
      </w:r>
    </w:p>
    <w:p>
      <w:pPr>
        <w:pStyle w:val="Normal"/>
        <w:spacing w:lineRule="auto" w:line="360"/>
        <w:ind w:firstLine="720" w:end="0"/>
        <w:rPr>
          <w:b/>
        </w:rPr>
      </w:pPr>
      <w:r>
        <w:rPr>
          <w:b/>
        </w:rPr>
        <w:t>Other Markets:</w:t>
      </w:r>
    </w:p>
    <w:p>
      <w:pPr>
        <w:pStyle w:val="Normal"/>
        <w:spacing w:lineRule="auto" w:line="360"/>
        <w:rPr/>
      </w:pPr>
      <w:r>
        <w:rPr/>
        <w:tab/>
        <w:t>The United Kingdom is on the verge of fundamentally altering its power market. The electricity industry regulator, Ofgem, expects to cut wholesale prices by at least 10% when the more competition-oriented New Electricity Trading Arrangements (NETA) are implemented on November 21, 2000.</w:t>
      </w:r>
      <w:r>
        <w:rPr>
          <w:rStyle w:val="FootnoteCharacters"/>
          <w:rStyle w:val="FootnoteReference"/>
        </w:rPr>
        <w:footnoteReference w:id="26"/>
      </w:r>
      <w:r>
        <w:rPr/>
        <w:t xml:space="preserve">  NETA is premised on the idea that “those wishing to buy and sell electricity should be able to enter into any freely negotiated contracts to do so.”</w:t>
      </w:r>
      <w:r>
        <w:rPr>
          <w:rStyle w:val="FootnoteCharacters"/>
          <w:rStyle w:val="FootnoteReference"/>
        </w:rPr>
        <w:footnoteReference w:id="27"/>
      </w:r>
      <w:r>
        <w:rPr/>
        <w:t xml:space="preserve">  NETA is intended to facilitate electricity trading on or more exchanges and through bilateral and multilateral contracts.  Briefly, NETA will permit retail suppliers and generators to bid prices into a balancing mechanism to match supply and demand.  Under the prevailing system which NETA will supersede, only generators are permitted to bid prices into the national electricity pool, which functions as a clearing-house and wholesale price-setter.  Under NETA, bid and offer prices will be made electronically on an online system.  Generators and buyers will be locked into the prices they bid.  However, Ofgem anticipates that the majority of trades will occur outside NETA through private power exchanges and contracts.</w:t>
      </w:r>
    </w:p>
    <w:p>
      <w:pPr>
        <w:pStyle w:val="Normal"/>
        <w:spacing w:lineRule="auto" w:line="360"/>
        <w:rPr/>
      </w:pPr>
      <w:r>
        <w:rPr/>
        <w:tab/>
        <w:t>Developments have not been as favorable in Asia as most Asian markets have yet to deregulate.  In Japan, where wholesale sales were only permitted in March 2000, Mitsui &amp; Co. and Nihon Tanshi, Co., a loan agent for financial institutions, have announced their joint intention to establish an electricity trading intermediary to facilitate buyers and sellers of surplus wholesale power.  The joint venture is expected to capitalized at approximately $5 million and will eventually offer an online trading system as well.</w:t>
      </w:r>
      <w:r>
        <w:rPr>
          <w:rStyle w:val="FootnoteCharacters"/>
          <w:rStyle w:val="FootnoteReference"/>
        </w:rPr>
        <w:footnoteReference w:id="28"/>
      </w:r>
    </w:p>
    <w:p>
      <w:pPr>
        <w:pStyle w:val="Normal"/>
        <w:spacing w:lineRule="auto" w:line="360"/>
        <w:rPr/>
      </w:pPr>
      <w:r>
        <w:rPr/>
        <w:tab/>
      </w:r>
    </w:p>
    <w:p>
      <w:pPr>
        <w:pStyle w:val="Normal"/>
        <w:keepNext w:val="true"/>
        <w:keepLines/>
        <w:widowControl w:val="false"/>
        <w:spacing w:lineRule="auto" w:line="360"/>
        <w:jc w:val="center"/>
        <w:rPr/>
      </w:pPr>
      <w:r>
        <w:rPr>
          <w:b/>
          <w:smallCaps/>
          <w:sz w:val="32"/>
        </w:rPr>
        <w:t>III.</w:t>
        <w:tab/>
        <w:t>Commercial Aspects</w:t>
      </w:r>
      <w:r>
        <w:fldChar w:fldCharType="begin"/>
      </w:r>
      <w:r>
        <w:rPr/>
        <w:instrText xml:space="preserve"> TC "III.</w:instrText>
        <w:tab/>
        <w:instrText xml:space="preserve">Commercial Aspects" \l 1 </w:instrText>
      </w:r>
      <w:r>
        <w:rPr/>
        <w:fldChar w:fldCharType="separate"/>
      </w:r>
      <w:r>
        <w:rPr/>
      </w:r>
      <w:r>
        <w:rPr/>
        <w:fldChar w:fldCharType="end"/>
      </w:r>
      <w:bookmarkStart w:id="3" w:name="__RefHeading___Toc494713813"/>
      <w:bookmarkEnd w:id="3"/>
      <w:r>
        <w:rPr>
          <w:b/>
          <w:smallCaps/>
          <w:sz w:val="32"/>
        </w:rPr>
        <w:t xml:space="preserve"> </w:t>
      </w:r>
    </w:p>
    <w:p>
      <w:pPr>
        <w:pStyle w:val="Normal"/>
        <w:keepNext w:val="true"/>
        <w:keepLines/>
        <w:widowControl w:val="false"/>
        <w:spacing w:lineRule="auto" w:line="360"/>
        <w:ind w:firstLine="720" w:end="0"/>
        <w:rPr/>
      </w:pPr>
      <w:r>
        <w:rPr/>
        <w:t>As of the start of 1999, wholesale power trading constituted an estimated 20% of total wholesale power sales in the United States between utilities, on exchanges, power pools and OTC.</w:t>
      </w:r>
      <w:r>
        <w:rPr>
          <w:rStyle w:val="FootnoteCharacters"/>
          <w:rStyle w:val="FootnoteReference"/>
        </w:rPr>
        <w:footnoteReference w:id="29"/>
      </w:r>
      <w:r>
        <w:rPr/>
        <w:t xml:space="preserve">  Power trading is new industry to which the market is gradually adjusting and the margins to be earned from the practice have thus far been meager.  </w:t>
      </w:r>
    </w:p>
    <w:p>
      <w:pPr>
        <w:pStyle w:val="Normal"/>
        <w:spacing w:lineRule="auto" w:line="360"/>
        <w:ind w:firstLine="720" w:end="0"/>
        <w:rPr/>
      </w:pPr>
      <w:r>
        <w:rPr/>
        <w:t>In 1998, the wholesale power and gas marketing industry revenues totaled $157 billion.  Combined gas and power marketing volumes are expected to rise to over $313 billion by 2005, at a compound growth rate of 10.4% per year.</w:t>
      </w:r>
      <w:r>
        <w:rPr>
          <w:rStyle w:val="FootnoteCharacters"/>
          <w:rStyle w:val="FootnoteReference"/>
        </w:rPr>
        <w:footnoteReference w:id="30"/>
      </w:r>
      <w:r>
        <w:rPr/>
        <w:t xml:space="preserve">  </w:t>
      </w:r>
    </w:p>
    <w:p>
      <w:pPr>
        <w:pStyle w:val="Normal"/>
        <w:spacing w:lineRule="auto" w:line="360"/>
        <w:ind w:firstLine="720" w:end="0"/>
        <w:rPr/>
      </w:pPr>
      <w:r>
        <w:rPr/>
        <w:t>Although power traders regularly publicize the magnitude of their trading volumes, precise indications of profitability are difficult to find and compile.  As of June 1999, a survey revealed that more than 300 energy companies had entered the wholesale power sales field. At the time, Reliant Wholesales Energy’s power marketer reported 1998 earnings of $764 million on $1.9 billion in revenues, at a gross margin of 39%.  Enron Power Marketing reportedly had a gross margin of 7.6% in 1998, on revenues of $12.7 billion and $968 million in earnings.  The survey identified a number of significant loss-making ventures, including Duke Energy Trading ($127 million) and PacifiCorp Power Marketing ($146 million). The survey concluded that although the potential for profits on price disparities exists, margins are typically “razor-thin or nonexistent.”</w:t>
      </w:r>
      <w:r>
        <w:rPr>
          <w:rStyle w:val="FootnoteCharacters"/>
          <w:rStyle w:val="FootnoteReference"/>
        </w:rPr>
        <w:footnoteReference w:id="31"/>
      </w:r>
    </w:p>
    <w:p>
      <w:pPr>
        <w:pStyle w:val="Normal"/>
        <w:spacing w:lineRule="auto" w:line="360"/>
        <w:ind w:firstLine="720" w:end="0"/>
        <w:rPr/>
      </w:pPr>
      <w:r>
        <w:rPr/>
        <w:t>A study of the wholesale power trading market published in January 2000 similarly concluded that wholesale energy marketing “has proven to be an extremely difficult industry in which to compete successfully.”  The study found that marketers usually face miniscule operating margins of approximately 0.4% of revenues, reduced from 0.6% in 1997.</w:t>
      </w:r>
      <w:r>
        <w:rPr>
          <w:rStyle w:val="FootnoteCharacters"/>
          <w:rStyle w:val="FootnoteReference"/>
        </w:rPr>
        <w:footnoteReference w:id="32"/>
      </w:r>
      <w:r>
        <w:rPr/>
        <w:t xml:space="preserve">  Industry consolidation and the convergence of electricity and gas businesses means that cross-commodity deals enable arbitrageurs to eke out profits from either sector.  </w:t>
      </w:r>
    </w:p>
    <w:p>
      <w:pPr>
        <w:pStyle w:val="Normal"/>
        <w:spacing w:lineRule="auto" w:line="360"/>
        <w:ind w:firstLine="720" w:end="0"/>
        <w:rPr/>
      </w:pPr>
      <w:r>
        <w:rPr/>
        <w:t>Several key factors are squeezing less capable marketers out of the industry: first, tight competition amongst large marketers is increasing the volume of trading; increases in merchant generation supplement the volume of power available to be traded; and online trading is expanding the universe of traders.  Competitive marketers are also integrating their assets vertically by acquiring generation capacity to support trading volumes, thereby making market entry more difficult and causing competitors to leave the market.  In any case, marketers are quickly pushing up the volumes of power being traded.  The elevated levels of trades (and the correspondingly high monetary requirements required to sustain such trades) may mean that the market will soon consist of a few highly capitalized marketers able to provide the informational and credit infrastructure necessary to compete in the market.</w:t>
      </w:r>
      <w:r>
        <w:rPr>
          <w:rStyle w:val="FootnoteCharacters"/>
          <w:rStyle w:val="FootnoteReference"/>
        </w:rPr>
        <w:footnoteReference w:id="33"/>
      </w:r>
    </w:p>
    <w:p>
      <w:pPr>
        <w:pStyle w:val="Normal"/>
        <w:spacing w:lineRule="auto" w:line="360"/>
        <w:ind w:firstLine="720" w:end="0"/>
        <w:rPr/>
      </w:pPr>
      <w:r>
        <w:rPr/>
        <w:t>How will traders succeed in so competitive and tight market?  Power traders must deploy a comprehensive strategy based on the assessment and modeling of a transaction’s risk and likely profitability.  A power trader’s formulation of such a strategy depends, to a great extent, on the information available.  Traders who are able to implement their strategies and capitalize on the most current information are best poised to succeed in the wholesales power trading market.  Decision-making times are contracting and a trader’s ability to process information and execute a trade within these shrinking periods will often determine success.  The trader must have the infrastructure and system-wide support necessary to quickly execute trades on the basis of information known to be current and reliable.  Successful trading operations institutionalize certain trading protocols to manage and mitigate exposure.  For example, some trading systems require an assignment of value-at-risk (VAR) of each trade; mandate profit-loss reporting on a daily basis; investment of up to one-third of operating capital on technology and database integration to process, track and control new products and information; and the institution of financial risk management procedures and rapid physical scheduling processes.  Risk mitigation and institutional compliance issues are discussed in Section VI.</w:t>
      </w:r>
    </w:p>
    <w:p>
      <w:pPr>
        <w:pStyle w:val="Normal"/>
        <w:spacing w:lineRule="auto" w:line="360"/>
        <w:ind w:firstLine="720" w:end="0"/>
        <w:rPr/>
      </w:pPr>
      <w:r>
        <w:rPr/>
      </w:r>
    </w:p>
    <w:p>
      <w:pPr>
        <w:pStyle w:val="Normal"/>
        <w:keepNext w:val="true"/>
        <w:keepLines/>
        <w:widowControl w:val="false"/>
        <w:spacing w:lineRule="auto" w:line="360"/>
        <w:ind w:firstLine="720" w:end="0"/>
        <w:jc w:val="center"/>
        <w:rPr>
          <w:sz w:val="32"/>
        </w:rPr>
      </w:pPr>
      <w:r>
        <w:rPr>
          <w:b/>
          <w:sz w:val="32"/>
        </w:rPr>
        <w:t>IV.</w:t>
        <w:tab/>
      </w:r>
      <w:r>
        <w:rPr>
          <w:b/>
          <w:smallCaps/>
          <w:sz w:val="32"/>
        </w:rPr>
        <w:t>Legal Issues</w:t>
      </w:r>
      <w:r>
        <w:fldChar w:fldCharType="begin"/>
      </w:r>
      <w:r>
        <w:rPr/>
        <w:instrText xml:space="preserve"> TC "IV.</w:instrText>
        <w:tab/>
        <w:instrText xml:space="preserve">Legal Issues" \l 1 </w:instrText>
      </w:r>
      <w:r>
        <w:rPr/>
        <w:fldChar w:fldCharType="separate"/>
      </w:r>
      <w:r>
        <w:rPr/>
      </w:r>
      <w:r>
        <w:rPr/>
        <w:fldChar w:fldCharType="end"/>
      </w:r>
      <w:bookmarkStart w:id="4" w:name="__RefHeading___Toc494713814"/>
      <w:bookmarkEnd w:id="4"/>
    </w:p>
    <w:p>
      <w:pPr>
        <w:pStyle w:val="Normal"/>
        <w:keepNext w:val="true"/>
        <w:keepLines/>
        <w:widowControl w:val="false"/>
        <w:spacing w:lineRule="auto" w:line="360"/>
        <w:ind w:firstLine="720" w:end="0"/>
        <w:rPr/>
      </w:pPr>
      <w:r>
        <w:rPr/>
        <w:t>The existence of a transaction enables the trader to exercise rights and incur obligations in the service of a corporate purpose.  It is the essence of risk management to the aggregate, update, adjust and document transaction-based rights and obligations.  Although risk valuation and management is realized in complex econometric and mathematical models and techniques, the trader’s obligations and rights are ultimately stipulated in a contract.  As the new market evolves and physical and financial products are introduced to implement sophisticated risk diversification and mitigation strategies, the precise language of the trading contract will become ever more important.</w:t>
      </w:r>
    </w:p>
    <w:p>
      <w:pPr>
        <w:pStyle w:val="Normal"/>
        <w:spacing w:lineRule="auto" w:line="360"/>
        <w:ind w:firstLine="720" w:end="0"/>
        <w:rPr/>
      </w:pPr>
      <w:r>
        <w:rPr/>
        <w:t xml:space="preserve">In devising a trading strategy based on bilateral contracts for the purchase and sale of power, certain arrangements must be standardized.  The most important element of any trading strategy must be the institutionalization or standardization of contract.  To the extent feasible, all obligations to trade in a certain type of product should explicitly be subject to a certain type of contract.  That is, the obligation to provide a certain category of power such as firm, non-interruptible power, should be incurred on standard terms.  Standardization is an acknowledgement of the reality that it simply is infeasible to compel traders to consult the specific provisions of a contract before executing each trade. A common arrangement between traders is to enter into an overarching master, or “umbrella” agreement, under the terms of which individual and specific transactions may be conducted.  Certain terms and conditions should be standardized, including the specifics of payment requirements (such as whether payment on a trade is due on a date certain each month, or, more indeterminately, within a certain number of days after the invoice has been sent); netting of payment obligations; definition of the product being traded; permissible methods of documenting or otherwise memorializing each transaction; the remedies for non-delivery of the product; remedies for non-payment; permissible events of </w:t>
      </w:r>
      <w:r>
        <w:rPr>
          <w:i/>
        </w:rPr>
        <w:t>force majeure</w:t>
      </w:r>
      <w:r>
        <w:rPr/>
        <w:t>; and other terms.</w:t>
      </w:r>
    </w:p>
    <w:p>
      <w:pPr>
        <w:pStyle w:val="Normal"/>
        <w:spacing w:lineRule="auto" w:line="360"/>
        <w:ind w:firstLine="720" w:end="0"/>
        <w:rPr/>
      </w:pPr>
      <w:r>
        <w:rPr/>
        <w:t>The task of counsel to a trader frequently is either to review (usually on an expedited basis) a form of contract offered by a proposed counterparty, or such counterparty’s comments to a form of contract proposed by counsel.  Although efforts are underway to develop a standard form of agreement industry-wide in the United States (See Section V), many traders are reluctant to agree to terms other than those set forth in their tried-and-true in-house contract forms.  Legal review of these forms should proceed only after a thorough consultation with: the trader’s credit department, which is charged with assessing, documenting and limiting corporate exposure and providing corporate credit guarantees or other support; the contracts department, which must preserve, file and be able to retrieve on short notice, the contracts and all subsidiary confirmations entered into; and the ultimately the traders themselves, who will be executing trades on a real-time basis under such documentation in service of a corporate strategy.</w:t>
      </w:r>
    </w:p>
    <w:p>
      <w:pPr>
        <w:pStyle w:val="Normal"/>
        <w:spacing w:lineRule="auto" w:line="360"/>
        <w:ind w:firstLine="720" w:end="0"/>
        <w:rPr/>
      </w:pPr>
      <w:r>
        <w:rPr/>
      </w:r>
    </w:p>
    <w:p>
      <w:pPr>
        <w:pStyle w:val="Normal"/>
        <w:spacing w:lineRule="auto" w:line="360"/>
        <w:ind w:hanging="720" w:start="720" w:end="0"/>
        <w:rPr/>
      </w:pPr>
      <w:r>
        <w:rPr/>
        <w:t>1.</w:t>
        <w:tab/>
      </w:r>
      <w:r>
        <w:rPr>
          <w:b/>
        </w:rPr>
        <w:t>Know the Product</w:t>
      </w:r>
      <w:r>
        <w:fldChar w:fldCharType="begin"/>
      </w:r>
      <w:r>
        <w:rPr/>
        <w:instrText xml:space="preserve"> TC "1.</w:instrText>
        <w:tab/>
        <w:instrText xml:space="preserve">Know the Product" \l 2 </w:instrText>
      </w:r>
      <w:r>
        <w:rPr/>
        <w:fldChar w:fldCharType="separate"/>
      </w:r>
      <w:r>
        <w:rPr/>
      </w:r>
      <w:r>
        <w:rPr/>
        <w:fldChar w:fldCharType="end"/>
      </w:r>
      <w:bookmarkStart w:id="5" w:name="__RefHeading___Toc494713815"/>
      <w:bookmarkEnd w:id="5"/>
      <w:r>
        <w:rPr/>
        <w:t xml:space="preserve">.  It is imperative that any legal review of a trading contract begin with an absolutely clear understanding of the nature of the product proposed to be traded.  Is it an obligation to buy or sell power on a </w:t>
      </w:r>
      <w:r>
        <w:rPr>
          <w:i/>
        </w:rPr>
        <w:t>firm</w:t>
      </w:r>
      <w:r>
        <w:rPr/>
        <w:t xml:space="preserve"> basis?  If so, then what are the consequences of a failure to deliver?  Under which circumstances is a failure of performance excused? Is it a </w:t>
      </w:r>
      <w:r>
        <w:rPr>
          <w:i/>
        </w:rPr>
        <w:t>quasi-firm</w:t>
      </w:r>
      <w:r>
        <w:rPr/>
        <w:t xml:space="preserve"> obligation, permitting interruption under specific negotiated conditions?  Is it firm with respect to a particular generation source (unit specific)?  Is it </w:t>
      </w:r>
      <w:r>
        <w:rPr>
          <w:i/>
        </w:rPr>
        <w:t>non-firm</w:t>
      </w:r>
      <w:r>
        <w:rPr/>
        <w:t xml:space="preserve"> or interruptible?</w:t>
      </w:r>
    </w:p>
    <w:p>
      <w:pPr>
        <w:pStyle w:val="Normal"/>
        <w:spacing w:lineRule="auto" w:line="360"/>
        <w:ind w:start="720" w:end="0"/>
        <w:rPr/>
      </w:pPr>
      <w:r>
        <w:rPr/>
        <w:tab/>
        <w:t xml:space="preserve">Market standards are shifting in the direction of providing virtually no excuse, barring specific types of transmission failures, for a failure to deliver firm power.  For example, a contract may dispense with traditional notions of </w:t>
      </w:r>
      <w:r>
        <w:rPr>
          <w:i/>
        </w:rPr>
        <w:t>force majeure</w:t>
      </w:r>
      <w:r>
        <w:rPr/>
        <w:t xml:space="preserve"> events and excuse performance only if: (i) the transmission provider declares a </w:t>
      </w:r>
      <w:r>
        <w:rPr>
          <w:i/>
        </w:rPr>
        <w:t>force majeure</w:t>
      </w:r>
      <w:r>
        <w:rPr/>
        <w:t xml:space="preserve"> event; and (ii) the obligation to provide such transmission service was itself a firm obligation.  Alternatively, a quasi-firm transaction may provide additional terms for excusing non-performance.  Non-firm transactions are interruptible for virtually any reason.</w:t>
      </w:r>
    </w:p>
    <w:p>
      <w:pPr>
        <w:pStyle w:val="Normal"/>
        <w:spacing w:lineRule="auto" w:line="360"/>
        <w:ind w:hanging="720" w:start="720" w:end="0"/>
        <w:rPr/>
      </w:pPr>
      <w:r>
        <w:rPr/>
        <w:tab/>
        <w:tab/>
        <w:t xml:space="preserve">The consequences of a failure to perform are critical to understanding liability and exposure under the contract.  Does a failure to perform entitle the other party to terminate the contract?  Does it precipitate a cross-default in all contracts between the parties, or even between the parties’ respective affiliates?  Such failures are often divided on the basis of failures to deliver or accept the physical delivery of power (performance default), and failure to make payments when due (payment default).  A performance default may give rise only to limited liability, such as the marginal cost of purchasing substitute power (or making a replacement sale).  A payment default may occasion more substantial penalties, including termination of the instant contract and any other contract between the parties and their affiliates.  </w:t>
      </w:r>
    </w:p>
    <w:p>
      <w:pPr>
        <w:pStyle w:val="Normal"/>
        <w:spacing w:lineRule="auto" w:line="360"/>
        <w:ind w:firstLine="720" w:start="720" w:end="0"/>
        <w:rPr/>
      </w:pPr>
      <w:r>
        <w:rPr/>
        <w:t>In the case of a performance default, punitive and exemplary damages should be disclaimed and a seller’s liability for not delivering power may be limited, at the buyer’s choice, to (i) the difference (if positive) between the actual cost of replacing the power not delivered and the price to have been paid for the power not delivered under the contract, or (ii) the positive difference between the reasonable market price for such power and the price to have been paid for the power not delivered under the contract.  Under interruptible contracts, remedies may be limited to the reimbursement of certain costs incurred by a party, such as scheduling costs, unless notice of interruption is given before a specified time.  Typically, the parties agree to specify the time before which notice of interruption may be given during each specific transaction, or by reference to protocols to be observed in particular power markets.  A payment default may trigger various obligations short of termination.  Depending on the volumes being traded and the level of insecurity regarding a party caused by a specific instance of non-payment, the non-paying party may be required to provide additional payment assurances of varying degrees in order to continue the trading relationship.</w:t>
      </w:r>
    </w:p>
    <w:p>
      <w:pPr>
        <w:pStyle w:val="Normal"/>
        <w:spacing w:lineRule="auto" w:line="360"/>
        <w:ind w:firstLine="720" w:start="720" w:end="0"/>
        <w:rPr/>
      </w:pPr>
      <w:r>
        <w:rPr/>
      </w:r>
    </w:p>
    <w:p>
      <w:pPr>
        <w:pStyle w:val="Normal"/>
        <w:spacing w:lineRule="auto" w:line="360"/>
        <w:ind w:hanging="720" w:start="720" w:end="0"/>
        <w:rPr/>
      </w:pPr>
      <w:r>
        <w:rPr/>
        <w:t>2.</w:t>
        <w:tab/>
      </w:r>
      <w:r>
        <w:rPr>
          <w:b/>
        </w:rPr>
        <w:t>Satisfy Credit Concerns</w:t>
      </w:r>
      <w:r>
        <w:fldChar w:fldCharType="begin"/>
      </w:r>
      <w:r>
        <w:rPr/>
        <w:instrText xml:space="preserve"> TC "2.</w:instrText>
        <w:tab/>
        <w:instrText xml:space="preserve">Satisfy Credit Concerns" \l 2 </w:instrText>
      </w:r>
      <w:r>
        <w:rPr/>
        <w:fldChar w:fldCharType="separate"/>
      </w:r>
      <w:r>
        <w:rPr/>
      </w:r>
      <w:r>
        <w:rPr/>
        <w:fldChar w:fldCharType="end"/>
      </w:r>
      <w:bookmarkStart w:id="6" w:name="__RefHeading___Toc494713816"/>
      <w:bookmarkEnd w:id="6"/>
      <w:r>
        <w:rPr/>
        <w:t xml:space="preserve">.  </w:t>
      </w:r>
    </w:p>
    <w:p>
      <w:pPr>
        <w:pStyle w:val="Normal"/>
        <w:spacing w:lineRule="auto" w:line="360"/>
        <w:ind w:hanging="720" w:start="720" w:end="0"/>
        <w:rPr/>
      </w:pPr>
      <w:r>
        <w:rPr/>
        <w:tab/>
        <w:tab/>
        <w:t xml:space="preserve">Most power trading operations (if not the traders themselves) will not enter into a trading arrangement unless credit concerns are reviewed and satisfied.  This is foremost a corporate policy matter that relates to the size, creditworthiness and reputation of each marketer.  The credit department must be satisfied that recourse may be had to satisfactory sources of credit support in the event the trading counterparty (with whom the proximate legal relationship is to be established) is unable to meet its payment obligations.  </w:t>
      </w:r>
    </w:p>
    <w:p>
      <w:pPr>
        <w:pStyle w:val="Normal"/>
        <w:spacing w:lineRule="auto" w:line="360"/>
        <w:ind w:hanging="720" w:start="720" w:end="0"/>
        <w:rPr/>
      </w:pPr>
      <w:r>
        <w:rPr/>
        <w:tab/>
        <w:tab/>
        <w:t>Traders occasionally agree to consummate trades solely on the basis of personal relationships with other traders and to capitalize on a specific market opportunity.  Under such circumstances, traders may regard legal review as a expendable exercise.  In the absence of a comprehensive legal review, it may be necessary to caution traders against executing trades in advance of the establishment, at a minimum, of appropriate credit assurances.</w:t>
      </w:r>
    </w:p>
    <w:p>
      <w:pPr>
        <w:pStyle w:val="Normal"/>
        <w:spacing w:lineRule="auto" w:line="360"/>
        <w:ind w:firstLine="720" w:start="720" w:end="0"/>
        <w:rPr/>
      </w:pPr>
      <w:r>
        <w:rPr/>
        <w:t>Credit concerns may be evaluated by requiring the proposed counterparty to supply past audited financial statements, with an obligation to provide unaudited and audited financial statements going forward.  A parental or other corporate guarantee or other credit enhancement such as a letter of credit are often required.  Marketers often are very thinly capitalized and the ability to meet payment obligations is a fundamental component of due diligence before entering into a trading arrangement with a particular marketer.  The types of performance assurances, and the events that would trigger the obligation to provide additional assurances, may be set forth with greater specificity in the contract.</w:t>
      </w:r>
    </w:p>
    <w:p>
      <w:pPr>
        <w:pStyle w:val="Normal"/>
        <w:spacing w:lineRule="auto" w:line="360"/>
        <w:ind w:firstLine="720" w:start="720" w:end="0"/>
        <w:rPr/>
      </w:pPr>
      <w:r>
        <w:rPr/>
        <w:t xml:space="preserve">Terms and conditions regarding credit and collateral security; events of default (other than performance default); remedies for default; and termination form the core of each trading relationship.  These terms are the most heavily negotiated because they define and circumscribe the parties’ potential liabilities.  The most common provisions contain the following elements:  </w:t>
      </w:r>
    </w:p>
    <w:p>
      <w:pPr>
        <w:pStyle w:val="Normal"/>
        <w:numPr>
          <w:ilvl w:val="0"/>
          <w:numId w:val="4"/>
        </w:numPr>
        <w:tabs>
          <w:tab w:val="clear" w:pos="720"/>
          <w:tab w:val="left" w:pos="1800" w:leader="none"/>
        </w:tabs>
        <w:spacing w:lineRule="auto" w:line="360"/>
        <w:ind w:hanging="360" w:start="1800" w:end="0"/>
        <w:rPr/>
      </w:pPr>
      <w:r>
        <w:rPr/>
        <w:t xml:space="preserve">Some form of collateral may be required to support a party’s obligations, including cash, letter of credit, bond, guaranty or other form of credit support reasonably acceptable to a party. </w:t>
      </w:r>
    </w:p>
    <w:p>
      <w:pPr>
        <w:pStyle w:val="Normal"/>
        <w:numPr>
          <w:ilvl w:val="0"/>
          <w:numId w:val="4"/>
        </w:numPr>
        <w:tabs>
          <w:tab w:val="clear" w:pos="720"/>
          <w:tab w:val="left" w:pos="1800" w:leader="none"/>
        </w:tabs>
        <w:spacing w:lineRule="auto" w:line="360"/>
        <w:ind w:hanging="360" w:start="1800" w:end="0"/>
        <w:rPr/>
      </w:pPr>
      <w:r>
        <w:rPr/>
        <w:t>The ability to require additional security as potential liabilities exceed outstanding levels of available security.</w:t>
      </w:r>
    </w:p>
    <w:p>
      <w:pPr>
        <w:pStyle w:val="Normal"/>
        <w:numPr>
          <w:ilvl w:val="0"/>
          <w:numId w:val="4"/>
        </w:numPr>
        <w:tabs>
          <w:tab w:val="clear" w:pos="720"/>
          <w:tab w:val="left" w:pos="1800" w:leader="none"/>
        </w:tabs>
        <w:spacing w:lineRule="auto" w:line="360"/>
        <w:ind w:hanging="360" w:start="1800" w:end="0"/>
        <w:rPr/>
      </w:pPr>
      <w:r>
        <w:rPr/>
        <w:t xml:space="preserve">A standard provision enabling a reasonably insecure party to require the other to provide an “adequate assurance of performance” prior to further performance. </w:t>
      </w:r>
    </w:p>
    <w:p>
      <w:pPr>
        <w:pStyle w:val="Normal"/>
        <w:numPr>
          <w:ilvl w:val="0"/>
          <w:numId w:val="4"/>
        </w:numPr>
        <w:tabs>
          <w:tab w:val="clear" w:pos="720"/>
          <w:tab w:val="left" w:pos="1800" w:leader="none"/>
        </w:tabs>
        <w:spacing w:lineRule="auto" w:line="360"/>
        <w:ind w:hanging="360" w:start="1800" w:end="0"/>
        <w:rPr/>
      </w:pPr>
      <w:r>
        <w:rPr/>
        <w:t>Events of default typically include: failure to make payment within three days after notice; insolvency either of the counterparty or its guarantor (or other specified affiliate); failure to maintain or increase collateral security; or an event of default under any other agreement between the parties (or between affiliates of the parties).</w:t>
      </w:r>
    </w:p>
    <w:p>
      <w:pPr>
        <w:pStyle w:val="Normal"/>
        <w:numPr>
          <w:ilvl w:val="0"/>
          <w:numId w:val="4"/>
        </w:numPr>
        <w:tabs>
          <w:tab w:val="clear" w:pos="720"/>
          <w:tab w:val="left" w:pos="1800" w:leader="none"/>
        </w:tabs>
        <w:spacing w:lineRule="auto" w:line="360"/>
        <w:ind w:hanging="360" w:start="1800" w:end="0"/>
        <w:rPr/>
      </w:pPr>
      <w:r>
        <w:rPr/>
        <w:t>Remedies upon an event of default may be extensive.  An event of default may cause a party to terminate (as of a date certain) all outstanding transactions and to set-off owed sums against any payments the non-defaulting party may hold.  The non-defaulting party typically calculates a settlement amount based on the aggregate value of the terminated obligations as though they had not been terminated.  The settlement amount is the aggregate net value of the non-defaulting party’s:</w:t>
      </w:r>
    </w:p>
    <w:p>
      <w:pPr>
        <w:pStyle w:val="Normal"/>
        <w:numPr>
          <w:ilvl w:val="0"/>
          <w:numId w:val="4"/>
        </w:numPr>
        <w:tabs>
          <w:tab w:val="clear" w:pos="720"/>
          <w:tab w:val="left" w:pos="2160" w:leader="none"/>
        </w:tabs>
        <w:spacing w:lineRule="auto" w:line="360"/>
        <w:ind w:hanging="360" w:start="2160" w:end="0"/>
        <w:rPr/>
      </w:pPr>
      <w:r>
        <w:rPr/>
        <w:t>costs, including fees, commissions, attorneys’ costs and other transaction costs incurred in terminating any third party hedges or other arrangements as a result of its termination of outstanding transactions;</w:t>
      </w:r>
    </w:p>
    <w:p>
      <w:pPr>
        <w:pStyle w:val="Normal"/>
        <w:numPr>
          <w:ilvl w:val="0"/>
          <w:numId w:val="4"/>
        </w:numPr>
        <w:tabs>
          <w:tab w:val="clear" w:pos="720"/>
          <w:tab w:val="left" w:pos="2160" w:leader="none"/>
        </w:tabs>
        <w:spacing w:lineRule="auto" w:line="360"/>
        <w:ind w:hanging="360" w:start="2160" w:end="0"/>
        <w:rPr/>
      </w:pPr>
      <w:r>
        <w:rPr/>
        <w:t>gains, equal to the present value of the economic benefits accruing to the non-defaulting party resulting from the terminated transactions; and</w:t>
      </w:r>
    </w:p>
    <w:p>
      <w:pPr>
        <w:pStyle w:val="Normal"/>
        <w:numPr>
          <w:ilvl w:val="0"/>
          <w:numId w:val="4"/>
        </w:numPr>
        <w:tabs>
          <w:tab w:val="clear" w:pos="720"/>
          <w:tab w:val="left" w:pos="2160" w:leader="none"/>
        </w:tabs>
        <w:spacing w:lineRule="auto" w:line="360"/>
        <w:ind w:hanging="360" w:start="2160" w:end="0"/>
        <w:rPr/>
      </w:pPr>
      <w:r>
        <w:rPr/>
        <w:t>losses, equal to the present value of the economic loss to the non-defaulting party resulting from the terminated transactions.</w:t>
      </w:r>
    </w:p>
    <w:p>
      <w:pPr>
        <w:pStyle w:val="Normal"/>
        <w:spacing w:lineRule="auto" w:line="360"/>
        <w:ind w:start="1800" w:end="0"/>
        <w:rPr/>
      </w:pPr>
      <w:r>
        <w:rPr/>
        <w:t>If the net losses and costs exceed the non-defaulting party’s gains, then the defaulting party is obligated to pay the difference.  If the non-defaulting party’s net gains exceed its losses, then it may require that the difference be applied and set off against any payment obligations it may have to the defaulting party under any other contract, thereby avoiding having to make a payment to the defaulting party, which perversely may encourage default.</w:t>
      </w:r>
    </w:p>
    <w:p>
      <w:pPr>
        <w:pStyle w:val="Normal"/>
        <w:spacing w:lineRule="auto" w:line="360"/>
        <w:ind w:start="1440" w:end="0"/>
        <w:rPr/>
      </w:pPr>
      <w:r>
        <w:rPr/>
        <w:t xml:space="preserve"> </w:t>
      </w:r>
    </w:p>
    <w:p>
      <w:pPr>
        <w:pStyle w:val="Normal"/>
        <w:spacing w:lineRule="auto" w:line="360"/>
        <w:ind w:hanging="720" w:start="720" w:end="0"/>
        <w:rPr/>
      </w:pPr>
      <w:r>
        <w:rPr/>
        <w:t>3.</w:t>
        <w:tab/>
      </w:r>
      <w:r>
        <w:rPr>
          <w:b/>
        </w:rPr>
        <w:t>Other Contract Terms</w:t>
      </w:r>
      <w:r>
        <w:fldChar w:fldCharType="begin"/>
      </w:r>
      <w:r>
        <w:rPr/>
        <w:instrText xml:space="preserve"> TC "3.</w:instrText>
        <w:tab/>
        <w:instrText xml:space="preserve">Other Contract Terms" \l 2 </w:instrText>
      </w:r>
      <w:r>
        <w:rPr/>
        <w:fldChar w:fldCharType="separate"/>
      </w:r>
      <w:r>
        <w:rPr/>
      </w:r>
      <w:r>
        <w:rPr/>
        <w:fldChar w:fldCharType="end"/>
      </w:r>
      <w:bookmarkStart w:id="7" w:name="__RefHeading___Toc494713817"/>
      <w:bookmarkEnd w:id="7"/>
    </w:p>
    <w:p>
      <w:pPr>
        <w:pStyle w:val="Normal"/>
        <w:spacing w:lineRule="auto" w:line="360"/>
        <w:ind w:hanging="720" w:start="720" w:end="0"/>
        <w:rPr/>
      </w:pPr>
      <w:r>
        <w:rPr/>
        <w:tab/>
        <w:tab/>
        <w:t>Bilateral wholesale power trading contracts vary in form from trader to trader.  However, certain elements are common to these bilateral contractual arrangements that are based on an “umbrella” agreement model.  The common elements include:</w:t>
      </w:r>
    </w:p>
    <w:p>
      <w:pPr>
        <w:pStyle w:val="Normal"/>
        <w:numPr>
          <w:ilvl w:val="0"/>
          <w:numId w:val="2"/>
        </w:numPr>
        <w:tabs>
          <w:tab w:val="clear" w:pos="720"/>
          <w:tab w:val="left" w:pos="1080" w:leader="none"/>
        </w:tabs>
        <w:spacing w:lineRule="auto" w:line="360"/>
        <w:ind w:hanging="360" w:start="1080" w:end="0"/>
        <w:rPr/>
      </w:pPr>
      <w:r>
        <w:rPr/>
        <w:t>Entry into the umbrella agreement does not imply an obligation to enter into any specific transaction.  Each transaction is subject to the terms of that transaction, which are memorialized in a confirmation.  Each confirmation is a separate binding contract of the parties.</w:t>
      </w:r>
    </w:p>
    <w:p>
      <w:pPr>
        <w:pStyle w:val="Normal"/>
        <w:numPr>
          <w:ilvl w:val="0"/>
          <w:numId w:val="2"/>
        </w:numPr>
        <w:tabs>
          <w:tab w:val="clear" w:pos="720"/>
          <w:tab w:val="left" w:pos="1080" w:leader="none"/>
        </w:tabs>
        <w:spacing w:lineRule="auto" w:line="360"/>
        <w:ind w:hanging="360" w:start="1080" w:end="0"/>
        <w:rPr/>
      </w:pPr>
      <w:r>
        <w:rPr/>
        <w:t>The terms of a transaction may be as agreed to by phone (which agreements may be recorded) and may subsequently be independently confirmed by written confirmation outlining the terms of the individual transaction.  A contract may specify procedures for resolving disagreements between the parties as to whether the written confirmation properly reflects the parties’ oral agreement.</w:t>
      </w:r>
    </w:p>
    <w:p>
      <w:pPr>
        <w:pStyle w:val="Normal"/>
        <w:numPr>
          <w:ilvl w:val="0"/>
          <w:numId w:val="2"/>
        </w:numPr>
        <w:tabs>
          <w:tab w:val="clear" w:pos="720"/>
          <w:tab w:val="left" w:pos="1080" w:leader="none"/>
        </w:tabs>
        <w:spacing w:lineRule="auto" w:line="360"/>
        <w:ind w:hanging="360" w:start="1080" w:end="0"/>
        <w:rPr/>
      </w:pPr>
      <w:r>
        <w:rPr/>
        <w:t>The terms of each transaction may vary depending on the breadth of the trading relationship.  For example, some traders may only be able to sell power and may not be authorized to purchase power or the seller may not be able to sell firm power.  Each transaction, as memorialized in a confirmation, should: (i) designate the buyer and seller; (ii) identify the product; (iii) establish the delivery schedule and point of delivery; (iv) set forth the contract price; (v) stipulate the contract quantity; (vi) and include any other terms specific to the transaction.  Most trading contracts provide that the terms of the umbrella agreement will prevail over the confirmation, although the reverse may be agreed to by the parties.</w:t>
      </w:r>
    </w:p>
    <w:p>
      <w:pPr>
        <w:pStyle w:val="Normal"/>
        <w:numPr>
          <w:ilvl w:val="0"/>
          <w:numId w:val="2"/>
        </w:numPr>
        <w:tabs>
          <w:tab w:val="clear" w:pos="720"/>
          <w:tab w:val="left" w:pos="1080" w:leader="none"/>
        </w:tabs>
        <w:spacing w:lineRule="auto" w:line="360"/>
        <w:ind w:hanging="360" w:start="1080" w:end="0"/>
        <w:rPr/>
      </w:pPr>
      <w:r>
        <w:rPr/>
        <w:t xml:space="preserve">To avoid confusion in an often fast-moving and </w:t>
      </w:r>
      <w:r>
        <w:rPr>
          <w:i/>
        </w:rPr>
        <w:t>ad hoc</w:t>
      </w:r>
      <w:r>
        <w:rPr/>
        <w:t xml:space="preserve"> business, the master agreement may identify specific individuals expressly authorized to act on behalf of each party.</w:t>
      </w:r>
    </w:p>
    <w:p>
      <w:pPr>
        <w:pStyle w:val="Normal"/>
        <w:numPr>
          <w:ilvl w:val="0"/>
          <w:numId w:val="2"/>
        </w:numPr>
        <w:tabs>
          <w:tab w:val="clear" w:pos="720"/>
          <w:tab w:val="left" w:pos="1080" w:leader="none"/>
        </w:tabs>
        <w:spacing w:lineRule="auto" w:line="360"/>
        <w:ind w:hanging="360" w:start="1080" w:end="0"/>
        <w:rPr/>
      </w:pPr>
      <w:r>
        <w:rPr/>
        <w:t>The seller typically retains title to the power and the risks of its loss and is responsible for scheduling obligations and costs (including taxes) up to the point of delivery.  The buyer is entitled to title free and clear of all prior claims or encumbrances on the electricity at, and from, the point of delivery.</w:t>
      </w:r>
    </w:p>
    <w:p>
      <w:pPr>
        <w:pStyle w:val="Normal"/>
        <w:numPr>
          <w:ilvl w:val="0"/>
          <w:numId w:val="2"/>
        </w:numPr>
        <w:tabs>
          <w:tab w:val="clear" w:pos="720"/>
          <w:tab w:val="left" w:pos="1080" w:leader="none"/>
        </w:tabs>
        <w:spacing w:lineRule="auto" w:line="360"/>
        <w:ind w:hanging="360" w:start="1080" w:end="0"/>
        <w:rPr/>
      </w:pPr>
      <w:r>
        <w:rPr/>
        <w:t>In firm transactions, the market appears to regard recovery of a party’s additional cost of replacement purchase as the sole legitimate remedy in the case of a party’s failure to deliver power to a specified point of delivery.  Conversely, a seller may be entitled only to the additional cost of procuring a replacement sale in the event the buyer fails to accept delivery at the point of delivery.  In non-firm transactions, liability for interruption typically is limited to scheduling penalties incurred as a result of delayed notification.  Each party should reserve the right to notify the other party of an interruption by telephone.</w:t>
      </w:r>
    </w:p>
    <w:p>
      <w:pPr>
        <w:pStyle w:val="Normal"/>
        <w:numPr>
          <w:ilvl w:val="0"/>
          <w:numId w:val="2"/>
        </w:numPr>
        <w:tabs>
          <w:tab w:val="clear" w:pos="720"/>
          <w:tab w:val="left" w:pos="1080" w:leader="none"/>
        </w:tabs>
        <w:spacing w:lineRule="auto" w:line="360"/>
        <w:ind w:hanging="360" w:start="1080" w:end="0"/>
        <w:rPr/>
      </w:pPr>
      <w:r>
        <w:rPr/>
        <w:t xml:space="preserve">Unless separately governed by a netting arrangement between the parties (pursuant to which payment obligations between the parties are netted out, with one party being obligated to make a net payment to the other), the terms of billing and payment should be coordinated with the accounting department of a trader.  A netting agreement, or netting provision in the master agreement, is preferred.  Failing agreement on netting, accounting departments often prefer for administrative reasons that invoices be payable on a certain date each month, rather than within a certain number of days after receipt of the invoice.  </w:t>
      </w:r>
    </w:p>
    <w:p>
      <w:pPr>
        <w:pStyle w:val="Normal"/>
        <w:numPr>
          <w:ilvl w:val="0"/>
          <w:numId w:val="2"/>
        </w:numPr>
        <w:tabs>
          <w:tab w:val="clear" w:pos="720"/>
          <w:tab w:val="left" w:pos="1080" w:leader="none"/>
        </w:tabs>
        <w:spacing w:lineRule="auto" w:line="360"/>
        <w:ind w:hanging="360" w:start="1080" w:end="0"/>
        <w:rPr/>
      </w:pPr>
      <w:r>
        <w:rPr/>
        <w:t>Parties may disagree on whether payments should be made in full regardless of any disputed amounts.  Often, a party will attempt to withhold any amounts in dispute.  The other party may agree to this withholding, provided that if the disputed amount is later determined to be due, then the withholding party should be obligated to pay the withheld amounts plus interest.  A party should limit the other party’s ability to dispute any sums paid by specifying that disputes must be raised within a set number of months after payment, subject to the paying party’s reasonable ability to review and audit the billing party’s records.</w:t>
      </w:r>
    </w:p>
    <w:p>
      <w:pPr>
        <w:pStyle w:val="Normal"/>
        <w:spacing w:lineRule="auto" w:line="360"/>
        <w:ind w:start="720" w:end="0"/>
        <w:rPr/>
      </w:pPr>
      <w:r>
        <w:rPr/>
      </w:r>
    </w:p>
    <w:p>
      <w:pPr>
        <w:pStyle w:val="Normal"/>
        <w:spacing w:lineRule="auto" w:line="360"/>
        <w:ind w:hanging="720" w:start="720" w:end="0"/>
        <w:rPr>
          <w:b/>
        </w:rPr>
      </w:pPr>
      <w:r>
        <w:rPr/>
        <w:t>4.</w:t>
        <w:tab/>
      </w:r>
      <w:r>
        <w:rPr>
          <w:b/>
        </w:rPr>
        <w:t>In the Event of a Disaster</w:t>
      </w:r>
      <w:r>
        <w:fldChar w:fldCharType="begin"/>
      </w:r>
      <w:r>
        <w:rPr/>
        <w:instrText xml:space="preserve"> TC "4.</w:instrText>
        <w:tab/>
        <w:instrText xml:space="preserve">In the Event of a Disaster" \l 2 </w:instrText>
      </w:r>
      <w:r>
        <w:rPr/>
        <w:fldChar w:fldCharType="separate"/>
      </w:r>
      <w:r>
        <w:rPr/>
      </w:r>
      <w:r>
        <w:rPr/>
        <w:fldChar w:fldCharType="end"/>
      </w:r>
      <w:bookmarkStart w:id="8" w:name="__RefHeading___Toc494713818"/>
      <w:bookmarkEnd w:id="8"/>
    </w:p>
    <w:p>
      <w:pPr>
        <w:pStyle w:val="Normal"/>
        <w:spacing w:lineRule="auto" w:line="360"/>
        <w:ind w:hanging="720" w:start="720" w:end="0"/>
        <w:rPr/>
      </w:pPr>
      <w:r>
        <w:rPr/>
        <w:tab/>
        <w:tab/>
        <w:t>In addition to developing and implementing credit and contract administration practices, trading operations also should institute a legal response system able to address failures in the event of trading mishaps.  What should a trader do if the markets spiral out of control and wholesale power commitments become economically infeasible to execute?</w:t>
      </w:r>
    </w:p>
    <w:p>
      <w:pPr>
        <w:pStyle w:val="Normal"/>
        <w:spacing w:lineRule="auto" w:line="360"/>
        <w:ind w:hanging="720" w:start="720" w:end="0"/>
        <w:rPr/>
      </w:pPr>
      <w:r>
        <w:rPr/>
        <w:tab/>
        <w:tab/>
        <w:t>The infant wholesale power market in the US faced its most severe test in June 1998.  During the week of June 22, substantial increases were recorded in the wholesale spot market for electricity in the mid-western part of the United States.  Next-day prices for power rose from an average of $25 per megawatt hour to as much as $2,600.  There was even one recorded instance of an hourly price of $7,500 per megawatt hour.</w:t>
      </w:r>
      <w:r>
        <w:rPr>
          <w:rStyle w:val="FootnoteCharacters"/>
          <w:rStyle w:val="FootnoteReference"/>
        </w:rPr>
        <w:footnoteReference w:id="34"/>
      </w:r>
      <w:r>
        <w:rPr/>
        <w:t xml:space="preserve">  This price increase was short-lived and the market suffered no blackouts nor were there any curtailments of firm retail service.  Defaults by several marketers of varying capitalization and pedigree caused several industry participants to withdraw from the market.  Substantial losses were incurred and at least one large marketer (Power Company of America, ranked as high as 11</w:t>
      </w:r>
      <w:r>
        <w:rPr>
          <w:vertAlign w:val="superscript"/>
        </w:rPr>
        <w:t>th</w:t>
      </w:r>
      <w:r>
        <w:rPr/>
        <w:t xml:space="preserve"> most active in 1998) went bankrupt.</w:t>
      </w:r>
    </w:p>
    <w:p>
      <w:pPr>
        <w:pStyle w:val="Normal"/>
        <w:spacing w:lineRule="auto" w:line="360"/>
        <w:ind w:firstLine="720" w:start="720" w:end="0"/>
        <w:rPr/>
      </w:pPr>
      <w:r>
        <w:rPr/>
        <w:t>The FERC Report on the June 1998 pricing anomalies identified several factors as contributing to the phenomenon: (i) more demand due to higher temperatures than were predicted; (ii) defaults by marketers causing a general uneasiness in the market; (iii) transmission line loading relief procedures and curtailments limiting the ability of power to be moved as necessary; (iv) the absence of reliable information about what other marketers were paying for power; (v) the absence of incentives for users of electricity to manage demand; (vi) the manipulation of the market by certain traders, causing confidence in the market to fail; and (vii) the market inexperience of traders.</w:t>
      </w:r>
      <w:r>
        <w:rPr>
          <w:rStyle w:val="FootnoteCharacters"/>
          <w:rStyle w:val="FootnoteReference"/>
        </w:rPr>
        <w:footnoteReference w:id="35"/>
      </w:r>
    </w:p>
    <w:p>
      <w:pPr>
        <w:pStyle w:val="Normal"/>
        <w:spacing w:lineRule="auto" w:line="360"/>
        <w:ind w:firstLine="720" w:start="720" w:end="0"/>
        <w:rPr/>
      </w:pPr>
      <w:r>
        <w:rPr/>
        <w:t>The inexperience of certain market participants during the June 1998 crisis was manifested in a variety of ways.  The FERC Report highlighted several lessons: (i) Credit-checking of counter-parties is essential.  A number of traders avoided the worst of the crisis because they stopped dealing with weak counter-parties whose defaults eventually exacerbated the pricing spikes; (ii) Contract language is key.  Many traders discovered too late that liquidated damages were not provided for and that remedies were not provided for the curtailment of firm transactions.  Traders disagreed about the definition of “emergency power” enabling some firms to take advantage of the situation by mandating the delivery of cheap power and then re-selling such power at high prices, thereby further diminishing confidence in the trading market; (iii) Several traders did not hedge their transactions.  Some firms relied on forecasts and sold power under a long-term contract without hedging against the forecast.  Other firms did not cover the call options they sold and were unable to secure the physical delivery of power when the strike price was reached; and (iv) Many traders did not diversify their supply sources and were consequently forced into the market for large purchases at an inopportune time.  The FERC Report noted that successful traders during the June 1998 episode had learned from their mistakes in the past, and had deployed a variety of strategies involving hedging, source diversification, and an insistence on liquidated damages.</w:t>
      </w:r>
      <w:r>
        <w:rPr>
          <w:rStyle w:val="FootnoteCharacters"/>
          <w:rStyle w:val="FootnoteReference"/>
        </w:rPr>
        <w:footnoteReference w:id="36"/>
      </w:r>
    </w:p>
    <w:p>
      <w:pPr>
        <w:pStyle w:val="Normal"/>
        <w:spacing w:lineRule="auto" w:line="360"/>
        <w:ind w:hanging="720" w:start="720" w:end="0"/>
        <w:rPr/>
      </w:pPr>
      <w:r>
        <w:rPr/>
        <w:tab/>
        <w:tab/>
        <w:t>In the event of a market disruption, it is imperative that a power marketer be able to deploy existing mechanisms to assess and mitigate exposure and liability to any particular counterparty.  Counsel to a trader should, consistent with existing corporate reporting and accounting practices, consider the following:</w:t>
      </w:r>
    </w:p>
    <w:p>
      <w:pPr>
        <w:pStyle w:val="Normal"/>
        <w:numPr>
          <w:ilvl w:val="0"/>
          <w:numId w:val="3"/>
        </w:numPr>
        <w:tabs>
          <w:tab w:val="clear" w:pos="720"/>
          <w:tab w:val="left" w:pos="1080" w:leader="none"/>
        </w:tabs>
        <w:spacing w:lineRule="auto" w:line="360"/>
        <w:ind w:hanging="360" w:start="1080" w:end="0"/>
        <w:rPr/>
      </w:pPr>
      <w:r>
        <w:rPr/>
        <w:t xml:space="preserve">An early-warning system must be attuned to the expectation of high price volatility based on a number of factors, such as trade reports (official and unofficial), knowledge of public creditor or debtor filings, or notices of persistent non-payment and warnings from the trader’s accounts receivable.  </w:t>
      </w:r>
    </w:p>
    <w:p>
      <w:pPr>
        <w:pStyle w:val="Normal"/>
        <w:numPr>
          <w:ilvl w:val="0"/>
          <w:numId w:val="3"/>
        </w:numPr>
        <w:tabs>
          <w:tab w:val="clear" w:pos="720"/>
          <w:tab w:val="left" w:pos="1080" w:leader="none"/>
        </w:tabs>
        <w:spacing w:lineRule="auto" w:line="360"/>
        <w:ind w:hanging="360" w:start="1080" w:end="0"/>
        <w:rPr/>
      </w:pPr>
      <w:r>
        <w:rPr/>
        <w:t xml:space="preserve">Upon an indication of sufficient concern, counsel should collect all contracts and transaction documentation relating to the counterparty.  </w:t>
      </w:r>
    </w:p>
    <w:p>
      <w:pPr>
        <w:pStyle w:val="Normal"/>
        <w:numPr>
          <w:ilvl w:val="0"/>
          <w:numId w:val="3"/>
        </w:numPr>
        <w:tabs>
          <w:tab w:val="clear" w:pos="720"/>
          <w:tab w:val="left" w:pos="1080" w:leader="none"/>
        </w:tabs>
        <w:spacing w:lineRule="auto" w:line="360"/>
        <w:ind w:hanging="360" w:start="1080" w:end="0"/>
        <w:rPr/>
      </w:pPr>
      <w:r>
        <w:rPr/>
        <w:t>With the support of the traders and accounts personnel, counsel can calculate the magnitude of exposure to counterparty default under transaction documents.  All accounts with the counterparty should then be monitored.</w:t>
      </w:r>
    </w:p>
    <w:p>
      <w:pPr>
        <w:pStyle w:val="Normal"/>
        <w:numPr>
          <w:ilvl w:val="0"/>
          <w:numId w:val="3"/>
        </w:numPr>
        <w:tabs>
          <w:tab w:val="clear" w:pos="720"/>
          <w:tab w:val="left" w:pos="1080" w:leader="none"/>
        </w:tabs>
        <w:spacing w:lineRule="auto" w:line="360"/>
        <w:ind w:hanging="360" w:start="1080" w:end="0"/>
        <w:rPr/>
      </w:pPr>
      <w:r>
        <w:rPr/>
        <w:t>The status of collateral commitments should be confirmed so that termination dates, collateralization requirements and value are fully understood.  The level of available collateral should be monitored with respect to the ongoing exposure.</w:t>
      </w:r>
    </w:p>
    <w:p>
      <w:pPr>
        <w:pStyle w:val="Normal"/>
        <w:numPr>
          <w:ilvl w:val="0"/>
          <w:numId w:val="3"/>
        </w:numPr>
        <w:tabs>
          <w:tab w:val="clear" w:pos="720"/>
          <w:tab w:val="left" w:pos="1080" w:leader="none"/>
        </w:tabs>
        <w:spacing w:lineRule="auto" w:line="360"/>
        <w:ind w:hanging="360" w:start="1080" w:end="0"/>
        <w:rPr/>
      </w:pPr>
      <w:r>
        <w:rPr/>
        <w:t>Counsel should review all contacts with the subject counterparty with the principal inhouse trader.  All incoming documentation from the counterparty should be reviewed with counsel before reply.  Subject to existing contractual ability and applicable law, all conversations should be recorded on tape and counsel should ensure that the tapes are preserved.</w:t>
      </w:r>
    </w:p>
    <w:p>
      <w:pPr>
        <w:pStyle w:val="Normal"/>
        <w:numPr>
          <w:ilvl w:val="0"/>
          <w:numId w:val="3"/>
        </w:numPr>
        <w:tabs>
          <w:tab w:val="clear" w:pos="720"/>
          <w:tab w:val="left" w:pos="1080" w:leader="none"/>
        </w:tabs>
        <w:spacing w:lineRule="auto" w:line="360"/>
        <w:ind w:hanging="360" w:start="1080" w:end="0"/>
        <w:rPr/>
      </w:pPr>
      <w:r>
        <w:rPr/>
        <w:t xml:space="preserve">Contract review should focus on: </w:t>
      </w:r>
    </w:p>
    <w:p>
      <w:pPr>
        <w:pStyle w:val="Normal"/>
        <w:numPr>
          <w:ilvl w:val="0"/>
          <w:numId w:val="3"/>
        </w:numPr>
        <w:tabs>
          <w:tab w:val="clear" w:pos="720"/>
          <w:tab w:val="left" w:pos="1440" w:leader="none"/>
        </w:tabs>
        <w:spacing w:lineRule="auto" w:line="360"/>
        <w:ind w:hanging="360" w:start="1440" w:end="0"/>
        <w:rPr/>
      </w:pPr>
      <w:r>
        <w:rPr/>
        <w:t xml:space="preserve">rights to require additional collateral or assurance of performance; </w:t>
      </w:r>
    </w:p>
    <w:p>
      <w:pPr>
        <w:pStyle w:val="Normal"/>
        <w:numPr>
          <w:ilvl w:val="0"/>
          <w:numId w:val="3"/>
        </w:numPr>
        <w:tabs>
          <w:tab w:val="clear" w:pos="720"/>
          <w:tab w:val="left" w:pos="1440" w:leader="none"/>
        </w:tabs>
        <w:spacing w:lineRule="auto" w:line="360"/>
        <w:ind w:hanging="360" w:start="1440" w:end="0"/>
        <w:rPr/>
      </w:pPr>
      <w:r>
        <w:rPr/>
        <w:t xml:space="preserve">rights to discontinue deliveries under existing commitments; </w:t>
      </w:r>
    </w:p>
    <w:p>
      <w:pPr>
        <w:pStyle w:val="Normal"/>
        <w:numPr>
          <w:ilvl w:val="0"/>
          <w:numId w:val="3"/>
        </w:numPr>
        <w:tabs>
          <w:tab w:val="clear" w:pos="720"/>
          <w:tab w:val="left" w:pos="1440" w:leader="none"/>
        </w:tabs>
        <w:spacing w:lineRule="auto" w:line="360"/>
        <w:ind w:hanging="360" w:start="1440" w:end="0"/>
        <w:rPr/>
      </w:pPr>
      <w:r>
        <w:rPr/>
        <w:t>rights to withhold payments and rights to net out payments in the absence of a declared default;</w:t>
      </w:r>
    </w:p>
    <w:p>
      <w:pPr>
        <w:pStyle w:val="Normal"/>
        <w:numPr>
          <w:ilvl w:val="0"/>
          <w:numId w:val="3"/>
        </w:numPr>
        <w:tabs>
          <w:tab w:val="clear" w:pos="720"/>
          <w:tab w:val="left" w:pos="1440" w:leader="none"/>
        </w:tabs>
        <w:spacing w:lineRule="auto" w:line="360"/>
        <w:ind w:hanging="360" w:start="1440" w:end="0"/>
        <w:rPr/>
      </w:pPr>
      <w:r>
        <w:rPr/>
        <w:t>default rights, including calls on collateral or other performance assurances, notices and cure periods, cross-default and guarantor default provisions, termination rights;</w:t>
      </w:r>
    </w:p>
    <w:p>
      <w:pPr>
        <w:pStyle w:val="Normal"/>
        <w:numPr>
          <w:ilvl w:val="0"/>
          <w:numId w:val="3"/>
        </w:numPr>
        <w:tabs>
          <w:tab w:val="clear" w:pos="720"/>
          <w:tab w:val="left" w:pos="1440" w:leader="none"/>
        </w:tabs>
        <w:spacing w:lineRule="auto" w:line="360"/>
        <w:ind w:hanging="360" w:start="1440" w:end="0"/>
        <w:rPr/>
      </w:pPr>
      <w:r>
        <w:rPr/>
        <w:t>obligations to cover potential counterparty failures (for example, whether one is required to purchase replacement power or to secure a replacement sale) and measure of damages in case of an obligation to cover;</w:t>
      </w:r>
    </w:p>
    <w:p>
      <w:pPr>
        <w:pStyle w:val="Normal"/>
        <w:numPr>
          <w:ilvl w:val="0"/>
          <w:numId w:val="3"/>
        </w:numPr>
        <w:tabs>
          <w:tab w:val="clear" w:pos="720"/>
          <w:tab w:val="left" w:pos="1440" w:leader="none"/>
        </w:tabs>
        <w:spacing w:lineRule="auto" w:line="360"/>
        <w:ind w:hanging="360" w:start="1440" w:end="0"/>
        <w:rPr/>
      </w:pPr>
      <w:r>
        <w:rPr/>
        <w:t>restrictions on the ability to take immediate action, including notice and cure periods, payment deadlines, confidentiality obligations; and</w:t>
      </w:r>
    </w:p>
    <w:p>
      <w:pPr>
        <w:pStyle w:val="Normal"/>
        <w:numPr>
          <w:ilvl w:val="0"/>
          <w:numId w:val="3"/>
        </w:numPr>
        <w:tabs>
          <w:tab w:val="clear" w:pos="720"/>
          <w:tab w:val="left" w:pos="1440" w:leader="none"/>
        </w:tabs>
        <w:spacing w:lineRule="auto" w:line="360"/>
        <w:ind w:hanging="360" w:start="1440" w:end="0"/>
        <w:rPr/>
      </w:pPr>
      <w:r>
        <w:rPr/>
        <w:t>developing a documentary record demonstrating compliance and reasonableness of all actions sufficient to meet any objective standards applicable (for example, the contract may provide that the occurrence of a specific event such as the downgrading of a counterparty’s parent’s credit rating will trigger an obligation to provide additional assurances of performance).</w:t>
      </w:r>
    </w:p>
    <w:p>
      <w:pPr>
        <w:pStyle w:val="Normal"/>
        <w:numPr>
          <w:ilvl w:val="0"/>
          <w:numId w:val="5"/>
        </w:numPr>
        <w:tabs>
          <w:tab w:val="clear" w:pos="720"/>
          <w:tab w:val="left" w:pos="1080" w:leader="none"/>
        </w:tabs>
        <w:spacing w:lineRule="auto" w:line="360"/>
        <w:ind w:hanging="360" w:start="1080" w:end="0"/>
        <w:rPr/>
      </w:pPr>
      <w:r>
        <w:rPr/>
        <w:t>In the event a default is declared, counsel should attend to:</w:t>
      </w:r>
    </w:p>
    <w:p>
      <w:pPr>
        <w:pStyle w:val="Normal"/>
        <w:numPr>
          <w:ilvl w:val="0"/>
          <w:numId w:val="5"/>
        </w:numPr>
        <w:tabs>
          <w:tab w:val="clear" w:pos="720"/>
          <w:tab w:val="left" w:pos="1440" w:leader="none"/>
        </w:tabs>
        <w:spacing w:lineRule="auto" w:line="360"/>
        <w:ind w:hanging="360" w:start="1440" w:end="0"/>
        <w:rPr/>
      </w:pPr>
      <w:r>
        <w:rPr/>
        <w:t>strict compliance with notice requirements;</w:t>
      </w:r>
    </w:p>
    <w:p>
      <w:pPr>
        <w:pStyle w:val="Normal"/>
        <w:numPr>
          <w:ilvl w:val="0"/>
          <w:numId w:val="5"/>
        </w:numPr>
        <w:tabs>
          <w:tab w:val="clear" w:pos="720"/>
          <w:tab w:val="left" w:pos="1440" w:leader="none"/>
        </w:tabs>
        <w:spacing w:lineRule="auto" w:line="360"/>
        <w:ind w:hanging="360" w:start="1440" w:end="0"/>
        <w:rPr/>
      </w:pPr>
      <w:r>
        <w:rPr/>
        <w:t>observance of cure rights;</w:t>
      </w:r>
    </w:p>
    <w:p>
      <w:pPr>
        <w:pStyle w:val="Normal"/>
        <w:numPr>
          <w:ilvl w:val="0"/>
          <w:numId w:val="5"/>
        </w:numPr>
        <w:tabs>
          <w:tab w:val="clear" w:pos="720"/>
          <w:tab w:val="left" w:pos="1440" w:leader="none"/>
        </w:tabs>
        <w:spacing w:lineRule="auto" w:line="360"/>
        <w:ind w:hanging="360" w:start="1440" w:end="0"/>
        <w:rPr/>
      </w:pPr>
      <w:r>
        <w:rPr/>
        <w:t>initiating steps to cover and to liquidate outstanding positions with the counterparty;</w:t>
      </w:r>
    </w:p>
    <w:p>
      <w:pPr>
        <w:pStyle w:val="Normal"/>
        <w:numPr>
          <w:ilvl w:val="0"/>
          <w:numId w:val="5"/>
        </w:numPr>
        <w:tabs>
          <w:tab w:val="clear" w:pos="720"/>
          <w:tab w:val="left" w:pos="1440" w:leader="none"/>
        </w:tabs>
        <w:spacing w:lineRule="auto" w:line="360"/>
        <w:ind w:hanging="360" w:start="1440" w:end="0"/>
        <w:rPr/>
      </w:pPr>
      <w:r>
        <w:rPr/>
        <w:t>calculation of damages with comprehensive documentation, including application of set-off and netting rights, under the subject contract and any other contracts with the counterparty (and any of its affiliates, as the documentation may permit);</w:t>
      </w:r>
    </w:p>
    <w:p>
      <w:pPr>
        <w:pStyle w:val="Normal"/>
        <w:numPr>
          <w:ilvl w:val="0"/>
          <w:numId w:val="5"/>
        </w:numPr>
        <w:tabs>
          <w:tab w:val="clear" w:pos="720"/>
          <w:tab w:val="left" w:pos="1440" w:leader="none"/>
        </w:tabs>
        <w:spacing w:lineRule="auto" w:line="360"/>
        <w:ind w:hanging="360" w:start="1440" w:end="0"/>
        <w:rPr/>
      </w:pPr>
      <w:r>
        <w:rPr/>
        <w:t>securing rights to collateral;</w:t>
      </w:r>
    </w:p>
    <w:p>
      <w:pPr>
        <w:pStyle w:val="Normal"/>
        <w:numPr>
          <w:ilvl w:val="0"/>
          <w:numId w:val="5"/>
        </w:numPr>
        <w:tabs>
          <w:tab w:val="clear" w:pos="720"/>
          <w:tab w:val="left" w:pos="1440" w:leader="none"/>
        </w:tabs>
        <w:spacing w:lineRule="auto" w:line="360"/>
        <w:ind w:hanging="360" w:start="1440" w:end="0"/>
        <w:rPr/>
      </w:pPr>
      <w:r>
        <w:rPr/>
        <w:t>filing any claims necessitated by the counterparty’s tenuous position;</w:t>
      </w:r>
    </w:p>
    <w:p>
      <w:pPr>
        <w:pStyle w:val="Normal"/>
        <w:numPr>
          <w:ilvl w:val="0"/>
          <w:numId w:val="5"/>
        </w:numPr>
        <w:tabs>
          <w:tab w:val="clear" w:pos="720"/>
          <w:tab w:val="left" w:pos="1440" w:leader="none"/>
        </w:tabs>
        <w:spacing w:lineRule="auto" w:line="360"/>
        <w:ind w:hanging="360" w:start="1440" w:end="0"/>
        <w:rPr/>
      </w:pPr>
      <w:r>
        <w:rPr/>
        <w:t>formally making a demand for the settlement amount, which is the amount owing in excess of sums set off against and netted out;</w:t>
      </w:r>
    </w:p>
    <w:p>
      <w:pPr>
        <w:pStyle w:val="Normal"/>
        <w:numPr>
          <w:ilvl w:val="0"/>
          <w:numId w:val="5"/>
        </w:numPr>
        <w:tabs>
          <w:tab w:val="clear" w:pos="720"/>
          <w:tab w:val="left" w:pos="1440" w:leader="none"/>
        </w:tabs>
        <w:spacing w:lineRule="auto" w:line="360"/>
        <w:ind w:hanging="360" w:start="1440" w:end="0"/>
        <w:rPr/>
      </w:pPr>
      <w:r>
        <w:rPr/>
        <w:t>consideration of filing creditor claims to secure claim in the event of the counterparty’s declaration of bankruptcy; and</w:t>
      </w:r>
    </w:p>
    <w:p>
      <w:pPr>
        <w:pStyle w:val="Normal"/>
        <w:numPr>
          <w:ilvl w:val="0"/>
          <w:numId w:val="5"/>
        </w:numPr>
        <w:tabs>
          <w:tab w:val="clear" w:pos="720"/>
          <w:tab w:val="left" w:pos="1440" w:leader="none"/>
        </w:tabs>
        <w:spacing w:lineRule="auto" w:line="360"/>
        <w:ind w:hanging="360" w:start="1440" w:end="0"/>
        <w:rPr/>
      </w:pPr>
      <w:r>
        <w:rPr/>
        <w:t>assessment of a litigation strategy, as may be required.</w:t>
      </w:r>
    </w:p>
    <w:p>
      <w:pPr>
        <w:pStyle w:val="Normal"/>
        <w:spacing w:lineRule="auto" w:line="360"/>
        <w:ind w:hanging="720" w:start="720" w:end="0"/>
        <w:rPr/>
      </w:pPr>
      <w:r>
        <w:rPr/>
      </w:r>
    </w:p>
    <w:p>
      <w:pPr>
        <w:pStyle w:val="Normal"/>
        <w:spacing w:lineRule="auto" w:line="360"/>
        <w:ind w:hanging="720" w:start="720" w:end="0"/>
        <w:rPr/>
      </w:pPr>
      <w:r>
        <w:rPr/>
      </w:r>
    </w:p>
    <w:p>
      <w:pPr>
        <w:pStyle w:val="Normal"/>
        <w:spacing w:lineRule="auto" w:line="360"/>
        <w:ind w:hanging="720" w:start="720" w:end="0"/>
        <w:jc w:val="center"/>
        <w:rPr/>
      </w:pPr>
      <w:r>
        <w:rPr>
          <w:b/>
          <w:sz w:val="32"/>
        </w:rPr>
        <w:t>V.</w:t>
        <w:tab/>
      </w:r>
      <w:r>
        <w:rPr>
          <w:b/>
          <w:smallCaps/>
          <w:sz w:val="32"/>
        </w:rPr>
        <w:t>The EEI Agreement</w:t>
      </w:r>
      <w:r>
        <w:fldChar w:fldCharType="begin"/>
      </w:r>
      <w:r>
        <w:rPr/>
        <w:instrText xml:space="preserve"> TC "V.</w:instrText>
        <w:tab/>
        <w:instrText xml:space="preserve">The EEI Agreement" \l 1 </w:instrText>
      </w:r>
      <w:r>
        <w:rPr/>
        <w:fldChar w:fldCharType="separate"/>
      </w:r>
      <w:r>
        <w:rPr/>
      </w:r>
      <w:r>
        <w:rPr/>
        <w:fldChar w:fldCharType="end"/>
      </w:r>
      <w:bookmarkStart w:id="9" w:name="__RefHeading___Toc494713819"/>
      <w:bookmarkEnd w:id="9"/>
      <w:r>
        <w:rPr>
          <w:b/>
          <w:smallCaps/>
          <w:sz w:val="32"/>
        </w:rPr>
        <w:t xml:space="preserve"> </w:t>
      </w:r>
    </w:p>
    <w:p>
      <w:pPr>
        <w:pStyle w:val="Normal"/>
        <w:spacing w:lineRule="auto" w:line="360"/>
        <w:ind w:hanging="720" w:start="720" w:end="0"/>
        <w:jc w:val="center"/>
        <w:rPr>
          <w:b/>
          <w:smallCaps/>
          <w:sz w:val="32"/>
        </w:rPr>
      </w:pPr>
      <w:r>
        <w:rPr>
          <w:b/>
          <w:smallCaps/>
          <w:sz w:val="32"/>
        </w:rPr>
      </w:r>
    </w:p>
    <w:p>
      <w:pPr>
        <w:pStyle w:val="Normal"/>
        <w:spacing w:lineRule="auto" w:line="360"/>
        <w:ind w:firstLine="720" w:end="0"/>
        <w:rPr/>
      </w:pPr>
      <w:r>
        <w:rPr/>
        <w:t>The Edison Electric Institute (EEI), an association of investor-owned utilities in the United States, has overseen the development of a model contract to facilitate wholesale power trading.  EEI members serve over 90 percent of all customers served by the shareholder-owned segment of the industry and generate approximately three-quarters of all the electricity generated by electric companies in the US and service about 70 percent of all ultimate customers in the country.</w:t>
      </w:r>
      <w:r>
        <w:rPr>
          <w:rStyle w:val="FootnoteCharacters"/>
          <w:rStyle w:val="FootnoteReference"/>
        </w:rPr>
        <w:footnoteReference w:id="37"/>
      </w:r>
      <w:r>
        <w:rPr/>
        <w:t xml:space="preserve">  The EEI Agreement Power Purchase and Sale Agreement (EEI Agreement) incorporates many of the practices prevailing in the wholesales market and is beginning to gain currency in the United States.  The EEI Agreement is a laudable effort to bring standardization to the wholesale power market and succeeds in providing many of the elements of an institutional approach to the documentation of power trades.  </w:t>
      </w:r>
    </w:p>
    <w:p>
      <w:pPr>
        <w:pStyle w:val="Normal"/>
        <w:spacing w:lineRule="auto" w:line="360"/>
        <w:ind w:firstLine="720" w:end="0"/>
        <w:rPr/>
      </w:pPr>
      <w:r>
        <w:rPr/>
        <w:t>The EEI Agreement reflects the efforts of a group of utilities, affiliated power marketers and independent marketers.  It establishes an umbrella superstructure under the terms of which the parties may agree to conduct specific transactions pursuant to independent confirmations.  Its chief contribution to providing liquidity in the wholesale market is the definition of standardized terms for many types of transactions, thereby permitting traders to execute varying strategies based on specific product, price, quantity, duration and delivery requirements.</w:t>
      </w:r>
    </w:p>
    <w:p>
      <w:pPr>
        <w:pStyle w:val="Normal"/>
        <w:spacing w:lineRule="auto" w:line="360"/>
        <w:ind w:firstLine="720" w:end="0"/>
        <w:rPr/>
      </w:pPr>
      <w:r>
        <w:rPr/>
        <w:t>Each confirmation establishes the identity of the buyer and seller; price; quantity; duration; delivery points; and the nature of the product.  The EEI Agreement itself consists of a Cover Sheet, General Terms and Conditions and various schedules.</w:t>
      </w:r>
    </w:p>
    <w:p>
      <w:pPr>
        <w:pStyle w:val="Normal"/>
        <w:spacing w:lineRule="auto" w:line="360"/>
        <w:ind w:firstLine="720" w:end="0"/>
        <w:rPr/>
      </w:pPr>
      <w:r>
        <w:rPr/>
        <w:t>The Cover Sheet identifies the parties to the Master Agreement and contains basic data regarding the parties’ contract administration addresses; contacts for invoicing, scheduling, payments, credit and collections; and information regarding wire transfers.  The Cover Sheet allows the parties to customize their agreement by choosing various options contained in the General Terms and Conditions.  For example, the parties may agree that an accelerated payment option should apply in the case of a failure to deliver power.  The Cover Sheet also provides several options regarding cross-defaults; credit and collateral requirements; types of credit information required; whether the occurrence of certain events will trigger additional performance assurance obligations; the identity of, and obligations to be sought from, guarantors; confidentiality; whether a party is a municipal entity; and whether the parties wish to append additional general terms and conditions.</w:t>
      </w:r>
    </w:p>
    <w:p>
      <w:pPr>
        <w:pStyle w:val="Normal"/>
        <w:spacing w:lineRule="auto" w:line="360"/>
        <w:ind w:firstLine="720" w:end="0"/>
        <w:rPr/>
      </w:pPr>
      <w:r>
        <w:rPr/>
        <w:t>The General Terms and Conditions contain the basic architecture of the parties’ trading relationship.  The document affords parties the ability to require credit assurances upon request and establishes a framework for the designation of credit thresholds which, upon breach, would trigger additional credit assurance obligations.  The objective is to allow the parties to design a relationship under the terms of which risks can be quantified and contained commensurate with the volume of trading undertaken.  Payments are netted and an off-setting option in the case of a termination closeout is also included.  The credit and collateral provisions are fairly comprehensive, and traders may choose to elaborate or expand on the protections offered.  For example, some traders may prefer to specify in the contract the rights regarding the physical security of performance assurances required to be posted.  It may be to the parties’ interests to provide for an expedited dispute resolution mechanism to determine whether (and to what level) performance assurances are required to be posted.</w:t>
      </w:r>
    </w:p>
    <w:p>
      <w:pPr>
        <w:pStyle w:val="Normal"/>
        <w:spacing w:lineRule="auto" w:line="360"/>
        <w:ind w:firstLine="720" w:end="0"/>
        <w:rPr/>
      </w:pPr>
      <w:r>
        <w:rPr/>
        <w:t xml:space="preserve">The EEI Agreement is an effective instrument for the standardization of power trading practices.  It accomplishes many objectives crucial to traders and their corporate credit cousins.  It defines the nature of trading obligations more precisely than occurred in </w:t>
      </w:r>
      <w:r>
        <w:rPr>
          <w:i/>
        </w:rPr>
        <w:t>ad hoc</w:t>
      </w:r>
      <w:r>
        <w:rPr/>
        <w:t xml:space="preserve"> arrangements and delineates the differences between various types of power clearly.  Obligations to deliver are commensurate with the qualities of firmness promised.  The EEI Agreement circumscribes liability to damages, permitting a quantification of a firm’s financial exposure.  The EEI Agreement offers specific choices regarding the establishment of external credit mechanisms which may extend to, and obligate, non-parties and otherwise permits parties to adopt other devices of their own design.  By its effort at standardization, the document also facilitates the institutionalization of internal credit operations.  </w:t>
      </w:r>
    </w:p>
    <w:p>
      <w:pPr>
        <w:pStyle w:val="Normal"/>
        <w:spacing w:lineRule="auto" w:line="360"/>
        <w:ind w:firstLine="720" w:end="0"/>
        <w:rPr/>
      </w:pPr>
      <w:r>
        <w:rPr/>
        <w:t>The EEI Agreement does not purport to address all concerns of all potential users, and it cannot be a one-size-fits-all agreement.  The document may incorporate other provisions as standard after an industry-wide consensus begins to develop with respect to  yet-unresolved issues.  For example, the EEI Agreement does not mandate a dispute resolution process.  It does not address changes in laws affecting the purchase and sale of wholesale power, nor does it establish a party’s regulatory obligations.  The EEI Agreement facilitates, but cannot ensure, coordination within a party’s administrative apparatus.  Traders, credit offices and counsel must continue to coordinate and communicate.  The EEI Agreement does not prescribe a procedure for the administration of transaction confirmations and their relationship with the underlying agreement, as is set forth in a specific Cover Sheet.  The document memorializes a single trading relationship and, to the extent agreed to by the parties, can affect other transactions between the parties and their affiliates.  However, the EEI Agreement does not provide a framework for risk hedging.  Finally, the EEI Agreement does not address transmission and interconnection matters, which can very significantly affect power trading obligations.  The EEI Agreement assumes that the parties will attend to transmission and interconnection issues independently of their power trading relationship.</w:t>
      </w:r>
      <w:r>
        <w:rPr>
          <w:rStyle w:val="FootnoteCharacters"/>
          <w:rStyle w:val="FootnoteReference"/>
        </w:rPr>
        <w:footnoteReference w:id="38"/>
      </w:r>
    </w:p>
    <w:p>
      <w:pPr>
        <w:pStyle w:val="Normal"/>
        <w:spacing w:lineRule="auto" w:line="360"/>
        <w:ind w:firstLine="720" w:end="0"/>
        <w:rPr/>
      </w:pPr>
      <w:r>
        <w:rPr/>
      </w:r>
    </w:p>
    <w:p>
      <w:pPr>
        <w:pStyle w:val="Normal"/>
        <w:keepNext w:val="true"/>
        <w:keepLines/>
        <w:widowControl w:val="false"/>
        <w:spacing w:lineRule="auto" w:line="360"/>
        <w:ind w:firstLine="720" w:end="0"/>
        <w:rPr>
          <w:b/>
          <w:smallCaps/>
          <w:sz w:val="32"/>
        </w:rPr>
      </w:pPr>
      <w:r>
        <w:rPr>
          <w:b/>
          <w:smallCaps/>
          <w:sz w:val="32"/>
        </w:rPr>
        <w:t>VI.</w:t>
        <w:tab/>
        <w:t>Institutional Compliance Programs</w:t>
      </w:r>
      <w:r>
        <w:fldChar w:fldCharType="begin"/>
      </w:r>
      <w:r>
        <w:rPr/>
        <w:instrText xml:space="preserve"> TC "VI.</w:instrText>
        <w:tab/>
        <w:instrText xml:space="preserve">Institutional Compliance Programs" \l 1 </w:instrText>
      </w:r>
      <w:r>
        <w:rPr/>
        <w:fldChar w:fldCharType="separate"/>
      </w:r>
      <w:r>
        <w:rPr/>
      </w:r>
      <w:r>
        <w:rPr/>
        <w:fldChar w:fldCharType="end"/>
      </w:r>
      <w:bookmarkStart w:id="10" w:name="__RefHeading___Toc494713820"/>
      <w:bookmarkEnd w:id="10"/>
    </w:p>
    <w:p>
      <w:pPr>
        <w:pStyle w:val="Normal"/>
        <w:keepNext w:val="true"/>
        <w:keepLines/>
        <w:widowControl w:val="false"/>
        <w:rPr>
          <w:b/>
          <w:smallCaps/>
          <w:sz w:val="32"/>
        </w:rPr>
      </w:pPr>
      <w:r>
        <w:rPr>
          <w:b/>
          <w:smallCaps/>
          <w:sz w:val="32"/>
        </w:rPr>
      </w:r>
    </w:p>
    <w:p>
      <w:pPr>
        <w:pStyle w:val="Normal"/>
        <w:keepNext w:val="true"/>
        <w:keepLines/>
        <w:widowControl w:val="false"/>
        <w:spacing w:lineRule="auto" w:line="360"/>
        <w:rPr/>
      </w:pPr>
      <w:r>
        <w:rPr/>
        <w:tab/>
        <w:t>An institutional compliance program is an essential element of any trading strategy, whether trades are executed pursuant to the EEI Agreement form or a separate standardized document.  The fundamentals of a compliance program are no different from any good practices model of business operation: at a minimum, all data must be reported accurately and promptly; trades must be reported precisely and in a timely manner; exposure limits must be unambiguous and enforceable; and lines of responsibility must be clearly delineated and roles understood.</w:t>
      </w:r>
    </w:p>
    <w:p>
      <w:pPr>
        <w:pStyle w:val="Normal"/>
        <w:spacing w:lineRule="auto" w:line="360"/>
        <w:rPr/>
      </w:pPr>
      <w:r>
        <w:rPr/>
      </w:r>
    </w:p>
    <w:p>
      <w:pPr>
        <w:pStyle w:val="Normal"/>
        <w:spacing w:lineRule="auto" w:line="360"/>
        <w:rPr/>
      </w:pPr>
      <w:r>
        <w:rPr/>
        <w:t>1.</w:t>
        <w:tab/>
      </w:r>
      <w:r>
        <w:rPr>
          <w:b/>
        </w:rPr>
        <w:t>Know Your Position</w:t>
      </w:r>
      <w:r>
        <w:rPr/>
        <w:t>:</w:t>
      </w:r>
    </w:p>
    <w:p>
      <w:pPr>
        <w:pStyle w:val="Normal"/>
        <w:spacing w:lineRule="auto" w:line="360"/>
        <w:ind w:firstLine="720" w:end="0"/>
        <w:rPr/>
      </w:pPr>
      <w:r>
        <w:rPr/>
        <w:t xml:space="preserve">Each trader must be able, within a short time, to assess his market position.  Experience, often painful, confirms that a sturdy and well-managed information system is the basis building block of a trading compliance program.  If correctly used and updated, it may be the only reliable basis upon which to form judgments during crisis situations.  During periods of high price volatility, when activity on the trading floor is frenetic, traders may enter into a haphazard and uncoordinated series of transactions.  Communications are imprecisely recollected and contemporaneous notes, if any, may prove unusable.  Information systems can be relied upon to provide a secure assessment of the market if traders report their positions promptly and accurately.  Traders are only likely to comply with information input protocols if the system, as a whole, is of greater benefit to the trader than other non-institutional methods.  Each trader must be confident that the information to be derived from using the system is superior to information gathered by other means.  </w:t>
      </w:r>
    </w:p>
    <w:p>
      <w:pPr>
        <w:pStyle w:val="Normal"/>
        <w:spacing w:lineRule="auto" w:line="360"/>
        <w:ind w:firstLine="720" w:end="0"/>
        <w:rPr/>
      </w:pPr>
      <w:r>
        <w:rPr/>
      </w:r>
    </w:p>
    <w:p>
      <w:pPr>
        <w:pStyle w:val="Normal"/>
        <w:spacing w:lineRule="auto" w:line="360"/>
        <w:rPr/>
      </w:pPr>
      <w:r>
        <w:rPr/>
        <w:t>2.</w:t>
        <w:tab/>
      </w:r>
      <w:r>
        <w:rPr>
          <w:b/>
        </w:rPr>
        <w:t>Exiting the Market</w:t>
      </w:r>
      <w:r>
        <w:rPr/>
        <w:t>:</w:t>
      </w:r>
    </w:p>
    <w:p>
      <w:pPr>
        <w:pStyle w:val="Normal"/>
        <w:spacing w:lineRule="auto" w:line="360"/>
        <w:rPr/>
      </w:pPr>
      <w:r>
        <w:rPr/>
        <w:tab/>
        <w:t>Traders must develop a viable exit strategy and, when appropriate, must comply with its dictates.  A strategic and disciplined withdrawal from the market upon the occurrence of identifiable losses is infinitely preferable to a frenzied dash forced by circumstances.  Information systems are critical to developing an exit strategy.  Such systems may be deployed to perform intra-day valuations and automatically trigger trading halts when risk exceeds pre-defined levels.</w:t>
      </w:r>
    </w:p>
    <w:p>
      <w:pPr>
        <w:pStyle w:val="Normal"/>
        <w:spacing w:lineRule="auto" w:line="360"/>
        <w:rPr/>
      </w:pPr>
      <w:r>
        <w:rPr/>
      </w:r>
    </w:p>
    <w:p>
      <w:pPr>
        <w:pStyle w:val="Normal"/>
        <w:spacing w:lineRule="auto" w:line="360"/>
        <w:rPr/>
      </w:pPr>
      <w:r>
        <w:rPr/>
        <w:t>3.</w:t>
        <w:tab/>
      </w:r>
      <w:r>
        <w:rPr>
          <w:b/>
        </w:rPr>
        <w:t>Setting Risk Parameters and Monitoring Compliance</w:t>
      </w:r>
      <w:r>
        <w:rPr/>
        <w:t>:</w:t>
      </w:r>
    </w:p>
    <w:p>
      <w:pPr>
        <w:pStyle w:val="Normal"/>
        <w:spacing w:lineRule="auto" w:line="360"/>
        <w:rPr/>
      </w:pPr>
      <w:r>
        <w:rPr/>
        <w:tab/>
        <w:t>Risk management limits must be set realistically.  The extent to which control is exercised over trading will define the profitability of a trading operation.  The perils are obvious is control is too lax.  Conversely, profit-making will suffer if trading activity is too severely constrained.  Once the risk markers have been set, compliance must be mandatory.  The operation must be monitored against such risk parameters on a consistent and on-going basis.  Deviations must be reported promptly and no later than the next day’s trading.</w:t>
      </w:r>
    </w:p>
    <w:p>
      <w:pPr>
        <w:pStyle w:val="Normal"/>
        <w:spacing w:lineRule="auto" w:line="360"/>
        <w:rPr/>
      </w:pPr>
      <w:r>
        <w:rPr/>
      </w:r>
    </w:p>
    <w:p>
      <w:pPr>
        <w:pStyle w:val="Normal"/>
        <w:spacing w:lineRule="auto" w:line="360"/>
        <w:rPr/>
      </w:pPr>
      <w:r>
        <w:rPr/>
        <w:t>4.</w:t>
        <w:tab/>
      </w:r>
      <w:r>
        <w:rPr>
          <w:b/>
        </w:rPr>
        <w:t>Separation of Corporate Functions</w:t>
      </w:r>
      <w:r>
        <w:rPr/>
        <w:t>:</w:t>
      </w:r>
    </w:p>
    <w:p>
      <w:pPr>
        <w:pStyle w:val="Normal"/>
        <w:spacing w:lineRule="auto" w:line="360"/>
        <w:rPr/>
      </w:pPr>
      <w:r>
        <w:rPr/>
        <w:tab/>
        <w:t xml:space="preserve">While the trader assumes an extraordinary amount of authority on behalf of the  trading operation, other critical functions must be assigned to other corporate groups.  The role of counsel has been discussed.  Independent credit review is also essential.  Equally important is an administrative framework for the preservation and retrieval of documentation.  Although trades may to a great extent be executed on the basis of standardized forms, the details of each trade are vital.  The failure to attend to details such as option trigger dates or the identity of a specific trading counter-party (which may be an affiliate of an authorized trader, but may not be licensed itself) can be costly.   </w:t>
      </w:r>
    </w:p>
    <w:p>
      <w:pPr>
        <w:pStyle w:val="Normal"/>
        <w:spacing w:lineRule="auto" w:line="360"/>
        <w:rPr/>
      </w:pPr>
      <w:r>
        <w:rPr/>
      </w:r>
    </w:p>
    <w:p>
      <w:pPr>
        <w:pStyle w:val="Normal"/>
        <w:spacing w:lineRule="auto" w:line="360"/>
        <w:rPr/>
      </w:pPr>
      <w:r>
        <w:rPr/>
        <w:t>5.</w:t>
        <w:tab/>
      </w:r>
      <w:r>
        <w:rPr>
          <w:b/>
        </w:rPr>
        <w:t>Seamless Integration</w:t>
      </w:r>
      <w:r>
        <w:rPr/>
        <w:t>:</w:t>
      </w:r>
    </w:p>
    <w:p>
      <w:pPr>
        <w:pStyle w:val="Normal"/>
        <w:spacing w:lineRule="auto" w:line="360"/>
        <w:rPr/>
      </w:pPr>
      <w:r>
        <w:rPr/>
        <w:tab/>
        <w:t>An efficient trading operation derives its greatest strengths from the integration of its component parts: from the agreement to trade, through front, middle and back offices, to feedback of information regarding the trade’s impact on the operational portfolio.  The front, middle and back offices must be aligned in pursuit of a corporate objective, supported by well-established and vigilant credit and legal foundations.</w:t>
      </w:r>
    </w:p>
    <w:p>
      <w:pPr>
        <w:pStyle w:val="Normal"/>
        <w:spacing w:lineRule="auto" w:line="360"/>
        <w:rPr/>
      </w:pPr>
      <w:r>
        <w:rPr/>
      </w:r>
    </w:p>
    <w:p>
      <w:pPr>
        <w:pStyle w:val="Normal"/>
        <w:keepNext w:val="true"/>
        <w:keepLines/>
        <w:widowControl w:val="false"/>
        <w:spacing w:lineRule="auto" w:line="360"/>
        <w:jc w:val="center"/>
        <w:rPr>
          <w:smallCaps/>
          <w:sz w:val="32"/>
        </w:rPr>
      </w:pPr>
      <w:r>
        <w:rPr>
          <w:b/>
          <w:smallCaps/>
          <w:sz w:val="32"/>
        </w:rPr>
        <w:t>VII.</w:t>
        <w:tab/>
        <w:t>Conclusion</w:t>
      </w:r>
      <w:r>
        <w:fldChar w:fldCharType="begin"/>
      </w:r>
      <w:r>
        <w:rPr/>
        <w:instrText xml:space="preserve"> TC "VII.</w:instrText>
        <w:tab/>
        <w:instrText xml:space="preserve">Conclusion" \l 1 </w:instrText>
      </w:r>
      <w:r>
        <w:rPr/>
        <w:fldChar w:fldCharType="separate"/>
      </w:r>
      <w:r>
        <w:rPr/>
      </w:r>
      <w:r>
        <w:rPr/>
        <w:fldChar w:fldCharType="end"/>
      </w:r>
      <w:bookmarkStart w:id="11" w:name="__RefHeading___Toc494713821"/>
      <w:bookmarkEnd w:id="11"/>
    </w:p>
    <w:p>
      <w:pPr>
        <w:pStyle w:val="Normal"/>
        <w:keepNext w:val="true"/>
        <w:keepLines/>
        <w:widowControl w:val="false"/>
        <w:spacing w:lineRule="auto" w:line="360"/>
        <w:rPr>
          <w:smallCaps/>
          <w:sz w:val="32"/>
        </w:rPr>
      </w:pPr>
      <w:r>
        <w:rPr>
          <w:smallCaps/>
          <w:sz w:val="32"/>
        </w:rPr>
      </w:r>
    </w:p>
    <w:p>
      <w:pPr>
        <w:pStyle w:val="Normal"/>
        <w:keepNext w:val="true"/>
        <w:keepLines/>
        <w:widowControl w:val="false"/>
        <w:spacing w:lineRule="auto" w:line="360"/>
        <w:rPr/>
      </w:pPr>
      <w:r>
        <w:rPr>
          <w:smallCaps/>
        </w:rPr>
        <w:tab/>
      </w:r>
      <w:r>
        <w:rPr/>
        <w:t>Wholesale power trading is a complicated and risky business.  It is also inevitable in the United States power market and is rapidly evolving as a critical element of European markets as well.  Power trading is conducted by a variety of means, and pools and exchanges are being developed to facilitate trading by the means most preferred by marketers.  Futures, options and OTC contracts are being traded in significant numbers.  Model contracts have emerged to promote liquidity and more wide-spread use of these contracts will further expand the market.  In addition, the internet is quickly becoming a real-time, interactive medium for the trading of electricity.</w:t>
      </w:r>
    </w:p>
    <w:p>
      <w:pPr>
        <w:pStyle w:val="Normal"/>
        <w:spacing w:lineRule="auto" w:line="360"/>
        <w:rPr/>
      </w:pPr>
      <w:r>
        <w:rPr/>
        <w:tab/>
        <w:t xml:space="preserve">Trading has yet to yield significant profit for many traders.  Burgeoning capacity continues to be constrained by transmission shortfalls, congestion in transmission routes,  and industry consolidation is causing trading in many cases to be a high-risk, low-yield venture.  To compete, traders must develop and implement institutional foundations for their operations.  Commercial risk can be mitigated so long as the boardroom, the credit office, the contracts department and the trading floor each adhere to a coordinated process.  Legal risks associated with the undertaking of power sales and delivery commitments must be commensurate with the extent of financial exposure the trader can withstand.  </w:t>
      </w:r>
    </w:p>
    <w:p>
      <w:pPr>
        <w:pStyle w:val="Normal"/>
        <w:spacing w:lineRule="auto" w:line="360"/>
        <w:ind w:firstLine="720" w:end="0"/>
        <w:rPr/>
      </w:pPr>
      <w:r>
        <w:rPr/>
        <w:t>Europe is shaping itself to be a significant new marketplace for the production and trading of electricity as the market slowly deregulates.  As in the United States, transmission congestion and incumbent recalcitrance can retard the development of markets and the institutions to enhance trading.  However, as the development of trading exchanges in closed systems like Japan demonstrates, wholesale power trading is very much a strategy for the future.</w:t>
      </w:r>
    </w:p>
    <w:p>
      <w:pPr>
        <w:pStyle w:val="Normal"/>
        <w:spacing w:lineRule="auto" w:line="360"/>
        <w:ind w:firstLine="720" w:end="0"/>
        <w:rPr/>
      </w:pPr>
      <w:r>
        <w:rPr/>
      </w:r>
    </w:p>
    <w:p>
      <w:pPr>
        <w:pStyle w:val="Normal"/>
        <w:spacing w:lineRule="auto" w:line="360"/>
        <w:ind w:firstLine="720" w:end="0"/>
        <w:rPr/>
      </w:pPr>
      <w:r>
        <w:rPr/>
      </w:r>
    </w:p>
    <w:p>
      <w:pPr>
        <w:pStyle w:val="Normal"/>
        <w:rPr/>
      </w:pPr>
      <w:r>
        <w:rPr/>
        <w:t>Samir S. Desai</w:t>
      </w:r>
    </w:p>
    <w:p>
      <w:pPr>
        <w:pStyle w:val="Normal"/>
        <w:rPr/>
      </w:pPr>
      <w:r>
        <w:rPr/>
        <w:t>Baker &amp; McKenzie</w:t>
      </w:r>
    </w:p>
    <w:p>
      <w:pPr>
        <w:pStyle w:val="Normal"/>
        <w:rPr/>
      </w:pPr>
      <w:r>
        <w:rPr/>
        <w:t>Washington, DC</w:t>
      </w:r>
    </w:p>
    <w:p>
      <w:pPr>
        <w:sectPr>
          <w:footerReference w:type="default" r:id="rId6"/>
          <w:footerReference w:type="first" r:id="rId7"/>
          <w:footnotePr>
            <w:numFmt w:val="decimal"/>
          </w:footnotePr>
          <w:type w:val="nextPage"/>
          <w:pgSz w:w="12240" w:h="15840"/>
          <w:pgMar w:left="1800" w:right="1800" w:gutter="0" w:header="0" w:top="1440" w:footer="720" w:bottom="1440"/>
          <w:pgNumType w:start="1" w:fmt="decimal"/>
          <w:formProt w:val="false"/>
          <w:titlePg/>
          <w:textDirection w:val="lrTb"/>
          <w:docGrid w:type="default" w:linePitch="360" w:charSpace="0"/>
        </w:sectPr>
        <w:pStyle w:val="Normal"/>
        <w:rPr/>
      </w:pPr>
      <w:r>
        <w:rPr/>
        <w:t>September 2000.</w:t>
      </w:r>
    </w:p>
    <w:p>
      <w:pPr>
        <w:pStyle w:val="Normal"/>
        <w:spacing w:lineRule="auto" w:line="360"/>
        <w:jc w:val="center"/>
        <w:rPr>
          <w:b/>
          <w:smallCaps/>
          <w:sz w:val="32"/>
        </w:rPr>
      </w:pPr>
      <w:r>
        <w:rPr>
          <w:b/>
          <w:smallCaps/>
          <w:sz w:val="32"/>
        </w:rPr>
        <w:t xml:space="preserve">Appendix </w:t>
      </w:r>
    </w:p>
    <w:p>
      <w:pPr>
        <w:pStyle w:val="Normal"/>
        <w:spacing w:lineRule="auto" w:line="360"/>
        <w:jc w:val="center"/>
        <w:rPr>
          <w:b/>
          <w:smallCaps/>
          <w:sz w:val="32"/>
        </w:rPr>
      </w:pPr>
      <w:r>
        <w:rPr>
          <w:b/>
          <w:smallCaps/>
          <w:sz w:val="32"/>
        </w:rPr>
        <w:t>Selected Charts</w:t>
      </w:r>
      <w:r>
        <w:fldChar w:fldCharType="begin"/>
      </w:r>
      <w:r>
        <w:rPr/>
        <w:instrText xml:space="preserve"> TC "Appendix" \l 1 </w:instrText>
      </w:r>
      <w:r>
        <w:rPr/>
        <w:fldChar w:fldCharType="separate"/>
      </w:r>
      <w:r>
        <w:rPr/>
      </w:r>
      <w:r>
        <w:rPr/>
        <w:fldChar w:fldCharType="end"/>
      </w:r>
      <w:bookmarkStart w:id="12" w:name="__RefHeading___Toc494713822"/>
      <w:bookmarkEnd w:id="12"/>
    </w:p>
    <w:p>
      <w:pPr>
        <w:sectPr>
          <w:footerReference w:type="default" r:id="rId8"/>
          <w:footerReference w:type="first" r:id="rId9"/>
          <w:footnotePr>
            <w:numFmt w:val="decimal"/>
          </w:footnotePr>
          <w:type w:val="nextPage"/>
          <w:pgSz w:w="12240" w:h="15840"/>
          <w:pgMar w:left="1800" w:right="1800" w:gutter="0" w:header="0" w:top="1440" w:footer="720" w:bottom="1440"/>
          <w:pgNumType w:start="1" w:fmt="decimal"/>
          <w:formProt w:val="false"/>
          <w:titlePg/>
          <w:textDirection w:val="lrTb"/>
          <w:docGrid w:type="default" w:linePitch="360" w:charSpace="0"/>
        </w:sectPr>
        <w:pStyle w:val="Normal"/>
        <w:spacing w:lineRule="auto" w:line="360"/>
        <w:rPr>
          <w:b/>
          <w:smallCaps/>
          <w:sz w:val="32"/>
        </w:rPr>
      </w:pPr>
      <w:r>
        <w:rPr>
          <w:b/>
          <w:smallCaps/>
          <w:sz w:val="32"/>
        </w:rPr>
      </w:r>
    </w:p>
    <w:p>
      <w:pPr>
        <w:pStyle w:val="Heading1"/>
        <w:rPr/>
      </w:pPr>
      <w:r>
        <w:rPr/>
        <w:t>Counterparty Sales and Purchases by Type of Counterparty</w:t>
      </w:r>
    </w:p>
    <w:p>
      <w:pPr>
        <w:pStyle w:val="Heading1"/>
        <w:rPr>
          <w:rFonts w:ascii="CG Times;Times New Roman" w:hAnsi="CG Times;Times New Roman" w:cs="CG Times;Times New Roman"/>
          <w:sz w:val="32"/>
        </w:rPr>
      </w:pPr>
      <w:r>
        <w:rPr/>
        <w:t>(Total and Non-Marketer Shares)</w:t>
      </w:r>
      <w:r>
        <w:fldChar w:fldCharType="begin"/>
      </w:r>
      <w:r>
        <w:rPr/>
        <w:instrText xml:space="preserve"> TC "Counterparty Sales and Purchases by Type of Counterparty" \l 2 </w:instrText>
      </w:r>
      <w:r>
        <w:rPr/>
        <w:fldChar w:fldCharType="separate"/>
      </w:r>
      <w:r>
        <w:rPr/>
      </w:r>
      <w:r>
        <w:rPr/>
        <w:fldChar w:fldCharType="end"/>
      </w:r>
      <w:bookmarkStart w:id="13" w:name="__RefHeading___Toc494713823"/>
      <w:bookmarkEnd w:id="13"/>
    </w:p>
    <w:p>
      <w:pPr>
        <w:pStyle w:val="Normal"/>
        <w:jc w:val="center"/>
        <w:rPr>
          <w:rFonts w:ascii="CG Times;Times New Roman" w:hAnsi="CG Times;Times New Roman" w:cs="CG Times;Times New Roman"/>
          <w:b/>
          <w:sz w:val="32"/>
        </w:rPr>
      </w:pPr>
      <w:r>
        <w:rPr>
          <w:rFonts w:cs="CG Times;Times New Roman" w:ascii="CG Times;Times New Roman" w:hAnsi="CG Times;Times New Roman"/>
          <w:b/>
          <w:sz w:val="32"/>
        </w:rPr>
      </w:r>
    </w:p>
    <w:p>
      <w:pPr>
        <w:pStyle w:val="Heading2"/>
        <w:rPr>
          <w:b w:val="false"/>
        </w:rPr>
      </w:pPr>
      <w:r>
        <w:rPr>
          <w:b w:val="false"/>
        </w:rPr>
        <w:t>Sales to Marketers</w:t>
      </w:r>
      <w:r>
        <w:fldChar w:fldCharType="begin"/>
      </w:r>
      <w:r>
        <w:rPr/>
        <w:instrText xml:space="preserve"> TC "Sales to Marketers" \l 3 </w:instrText>
      </w:r>
      <w:r>
        <w:rPr/>
        <w:fldChar w:fldCharType="separate"/>
      </w:r>
      <w:r>
        <w:rPr/>
      </w:r>
      <w:r>
        <w:rPr/>
        <w:fldChar w:fldCharType="end"/>
      </w:r>
      <w:bookmarkStart w:id="14" w:name="__RefHeading___Toc494713824"/>
      <w:bookmarkEnd w:id="14"/>
      <w:r>
        <mc:AlternateContent>
          <mc:Choice Requires="wps">
            <w:drawing>
              <wp:anchor behindDoc="0" distT="0" distB="0" distL="114935" distR="114935" simplePos="0" locked="0" layoutInCell="1" allowOverlap="1" relativeHeight="3">
                <wp:simplePos x="0" y="0"/>
                <wp:positionH relativeFrom="column">
                  <wp:posOffset>1234440</wp:posOffset>
                </wp:positionH>
                <wp:positionV relativeFrom="paragraph">
                  <wp:posOffset>445770</wp:posOffset>
                </wp:positionV>
                <wp:extent cx="4297680" cy="2815590"/>
                <wp:effectExtent l="0" t="0" r="0" b="0"/>
                <wp:wrapNone/>
                <wp:docPr id="1" name="Frame1"/>
                <a:graphic xmlns:a="http://schemas.openxmlformats.org/drawingml/2006/main">
                  <a:graphicData uri="http://schemas.microsoft.com/office/word/2010/wordprocessingShape">
                    <wps:wsp>
                      <wps:cNvSpPr txBox="1"/>
                      <wps:spPr>
                        <a:xfrm>
                          <a:off x="0" y="0"/>
                          <a:ext cx="4297680" cy="2815590"/>
                        </a:xfrm>
                        <a:prstGeom prst="rect"/>
                        <a:solidFill>
                          <a:srgbClr val="FFFFFF">
                            <a:alpha val="0"/>
                          </a:srgbClr>
                        </a:solidFill>
                      </wps:spPr>
                      <wps:txbx>
                        <w:txbxContent>
                          <w:tbl>
                            <w:tblPr>
                              <w:tblW w:w="6420" w:type="dxa"/>
                              <w:jc w:val="start"/>
                              <w:tblInd w:w="0" w:type="dxa"/>
                              <w:tblLayout w:type="fixed"/>
                              <w:tblCellMar>
                                <w:top w:w="0" w:type="dxa"/>
                                <w:start w:w="30" w:type="dxa"/>
                                <w:bottom w:w="0" w:type="dxa"/>
                                <w:end w:w="30" w:type="dxa"/>
                              </w:tblCellMar>
                            </w:tblPr>
                            <w:tblGrid>
                              <w:gridCol w:w="3630"/>
                              <w:gridCol w:w="810"/>
                              <w:gridCol w:w="1980"/>
                            </w:tblGrid>
                            <w:tr>
                              <w:trPr>
                                <w:trHeight w:val="247" w:hRule="atLeast"/>
                              </w:trPr>
                              <w:tc>
                                <w:tcPr>
                                  <w:tcW w:w="3630" w:type="dxa"/>
                                  <w:tcBorders>
                                    <w:bottom w:val="single" w:sz="4" w:space="0" w:color="000000"/>
                                  </w:tcBorders>
                                </w:tcPr>
                                <w:p>
                                  <w:pPr>
                                    <w:pStyle w:val="Normal"/>
                                    <w:snapToGrid w:val="false"/>
                                    <w:rPr>
                                      <w:rFonts w:ascii="Arial" w:hAnsi="Arial" w:cs="Arial"/>
                                      <w:b/>
                                      <w:color w:val="000000"/>
                                      <w:lang w:eastAsia="en-US"/>
                                    </w:rPr>
                                  </w:pPr>
                                  <w:r>
                                    <w:rPr>
                                      <w:rFonts w:cs="Arial" w:ascii="Arial" w:hAnsi="Arial"/>
                                      <w:b/>
                                      <w:color w:val="000000"/>
                                      <w:lang w:eastAsia="en-US"/>
                                    </w:rPr>
                                  </w:r>
                                </w:p>
                                <w:p>
                                  <w:pPr>
                                    <w:pStyle w:val="Normal"/>
                                    <w:rPr>
                                      <w:rFonts w:ascii="Arial" w:hAnsi="Arial" w:cs="Arial"/>
                                      <w:b/>
                                      <w:color w:val="000000"/>
                                      <w:lang w:eastAsia="en-US"/>
                                    </w:rPr>
                                  </w:pPr>
                                  <w:r>
                                    <w:rPr>
                                      <w:rFonts w:cs="Arial" w:ascii="Arial" w:hAnsi="Arial"/>
                                      <w:b/>
                                      <w:color w:val="000000"/>
                                      <w:lang w:eastAsia="en-US"/>
                                    </w:rPr>
                                    <w:t>Counterparty Type</w:t>
                                  </w:r>
                                </w:p>
                              </w:tc>
                              <w:tc>
                                <w:tcPr>
                                  <w:tcW w:w="810" w:type="dxa"/>
                                  <w:tcBorders>
                                    <w:bottom w:val="single" w:sz="4" w:space="0" w:color="000000"/>
                                  </w:tcBorders>
                                </w:tcPr>
                                <w:p>
                                  <w:pPr>
                                    <w:pStyle w:val="Normal"/>
                                    <w:jc w:val="center"/>
                                    <w:rPr>
                                      <w:rFonts w:ascii="Arial" w:hAnsi="Arial" w:cs="Arial"/>
                                      <w:b/>
                                      <w:color w:val="000000"/>
                                      <w:lang w:eastAsia="en-US"/>
                                    </w:rPr>
                                  </w:pPr>
                                  <w:r>
                                    <w:rPr>
                                      <w:rFonts w:cs="Arial" w:ascii="Arial" w:hAnsi="Arial"/>
                                      <w:b/>
                                      <w:color w:val="000000"/>
                                      <w:lang w:eastAsia="en-US"/>
                                    </w:rPr>
                                    <w:t>Total Share</w:t>
                                  </w:r>
                                </w:p>
                              </w:tc>
                              <w:tc>
                                <w:tcPr>
                                  <w:tcW w:w="1980" w:type="dxa"/>
                                  <w:tcBorders>
                                    <w:bottom w:val="single" w:sz="4" w:space="0" w:color="000000"/>
                                  </w:tcBorders>
                                </w:tcPr>
                                <w:p>
                                  <w:pPr>
                                    <w:pStyle w:val="Normal"/>
                                    <w:jc w:val="center"/>
                                    <w:rPr>
                                      <w:rFonts w:ascii="Arial" w:hAnsi="Arial" w:cs="Arial"/>
                                      <w:b/>
                                      <w:color w:val="000000"/>
                                      <w:lang w:eastAsia="en-US"/>
                                    </w:rPr>
                                  </w:pPr>
                                  <w:r>
                                    <w:rPr>
                                      <w:rFonts w:cs="Arial" w:ascii="Arial" w:hAnsi="Arial"/>
                                      <w:b/>
                                      <w:color w:val="000000"/>
                                      <w:lang w:eastAsia="en-US"/>
                                    </w:rPr>
                                    <w:t>Non-Marketer Share</w:t>
                                  </w:r>
                                </w:p>
                              </w:tc>
                            </w:tr>
                            <w:tr>
                              <w:trPr>
                                <w:trHeight w:val="247" w:hRule="atLeast"/>
                              </w:trPr>
                              <w:tc>
                                <w:tcPr>
                                  <w:tcW w:w="3630" w:type="dxa"/>
                                  <w:tcBorders/>
                                </w:tcPr>
                                <w:p>
                                  <w:pPr>
                                    <w:pStyle w:val="Normal"/>
                                    <w:spacing w:before="0" w:after="120"/>
                                    <w:rPr>
                                      <w:rFonts w:ascii="Arial" w:hAnsi="Arial" w:cs="Arial"/>
                                      <w:color w:val="000000"/>
                                      <w:lang w:eastAsia="en-US"/>
                                    </w:rPr>
                                  </w:pPr>
                                  <w:r>
                                    <w:rPr>
                                      <w:rFonts w:cs="Arial" w:ascii="Arial" w:hAnsi="Arial"/>
                                      <w:color w:val="000000"/>
                                      <w:lang w:eastAsia="en-US"/>
                                    </w:rPr>
                                    <w:t>Marketers</w:t>
                                  </w:r>
                                </w:p>
                              </w:tc>
                              <w:tc>
                                <w:tcPr>
                                  <w:tcW w:w="810" w:type="dxa"/>
                                  <w:tcBorders/>
                                </w:tcPr>
                                <w:p>
                                  <w:pPr>
                                    <w:pStyle w:val="Normal"/>
                                    <w:jc w:val="center"/>
                                    <w:rPr>
                                      <w:rFonts w:ascii="Arial" w:hAnsi="Arial" w:cs="Arial"/>
                                      <w:color w:val="000000"/>
                                      <w:lang w:eastAsia="en-US"/>
                                    </w:rPr>
                                  </w:pPr>
                                  <w:r>
                                    <w:rPr>
                                      <w:rFonts w:cs="Arial" w:ascii="Arial" w:hAnsi="Arial"/>
                                      <w:color w:val="000000"/>
                                      <w:lang w:eastAsia="en-US"/>
                                    </w:rPr>
                                    <w:t>68.4</w:t>
                                  </w:r>
                                </w:p>
                              </w:tc>
                              <w:tc>
                                <w:tcPr>
                                  <w:tcW w:w="1980"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r>
                            <w:tr>
                              <w:trPr>
                                <w:trHeight w:val="247" w:hRule="atLeast"/>
                              </w:trPr>
                              <w:tc>
                                <w:tcPr>
                                  <w:tcW w:w="3630" w:type="dxa"/>
                                  <w:tcBorders/>
                                </w:tcPr>
                                <w:p>
                                  <w:pPr>
                                    <w:pStyle w:val="Normal"/>
                                    <w:spacing w:before="0" w:after="120"/>
                                    <w:rPr>
                                      <w:rFonts w:ascii="Arial" w:hAnsi="Arial" w:cs="Arial"/>
                                      <w:color w:val="000000"/>
                                      <w:lang w:eastAsia="en-US"/>
                                    </w:rPr>
                                  </w:pPr>
                                  <w:r>
                                    <w:rPr>
                                      <w:rFonts w:cs="Arial" w:ascii="Arial" w:hAnsi="Arial"/>
                                      <w:color w:val="000000"/>
                                      <w:lang w:eastAsia="en-US"/>
                                    </w:rPr>
                                    <w:t>Investor-Owned Utilities</w:t>
                                  </w:r>
                                </w:p>
                              </w:tc>
                              <w:tc>
                                <w:tcPr>
                                  <w:tcW w:w="810" w:type="dxa"/>
                                  <w:tcBorders/>
                                </w:tcPr>
                                <w:p>
                                  <w:pPr>
                                    <w:pStyle w:val="Normal"/>
                                    <w:jc w:val="center"/>
                                    <w:rPr>
                                      <w:rFonts w:ascii="Arial" w:hAnsi="Arial" w:cs="Arial"/>
                                      <w:color w:val="000000"/>
                                      <w:lang w:eastAsia="en-US"/>
                                    </w:rPr>
                                  </w:pPr>
                                  <w:r>
                                    <w:rPr>
                                      <w:rFonts w:cs="Arial" w:ascii="Arial" w:hAnsi="Arial"/>
                                      <w:color w:val="000000"/>
                                      <w:lang w:eastAsia="en-US"/>
                                    </w:rPr>
                                    <w:t>24.9</w:t>
                                  </w:r>
                                </w:p>
                              </w:tc>
                              <w:tc>
                                <w:tcPr>
                                  <w:tcW w:w="1980" w:type="dxa"/>
                                  <w:tcBorders/>
                                </w:tcPr>
                                <w:p>
                                  <w:pPr>
                                    <w:pStyle w:val="Normal"/>
                                    <w:jc w:val="center"/>
                                    <w:rPr>
                                      <w:rFonts w:ascii="Arial" w:hAnsi="Arial" w:cs="Arial"/>
                                      <w:color w:val="000000"/>
                                      <w:lang w:eastAsia="en-US"/>
                                    </w:rPr>
                                  </w:pPr>
                                  <w:r>
                                    <w:rPr>
                                      <w:rFonts w:cs="Arial" w:ascii="Arial" w:hAnsi="Arial"/>
                                      <w:color w:val="000000"/>
                                      <w:lang w:eastAsia="en-US"/>
                                    </w:rPr>
                                    <w:t>78.9</w:t>
                                  </w:r>
                                </w:p>
                              </w:tc>
                            </w:tr>
                            <w:tr>
                              <w:trPr>
                                <w:trHeight w:val="247" w:hRule="atLeast"/>
                              </w:trPr>
                              <w:tc>
                                <w:tcPr>
                                  <w:tcW w:w="3630" w:type="dxa"/>
                                  <w:tcBorders/>
                                </w:tcPr>
                                <w:p>
                                  <w:pPr>
                                    <w:pStyle w:val="Normal"/>
                                    <w:spacing w:before="0" w:after="120"/>
                                    <w:rPr>
                                      <w:rFonts w:ascii="Arial" w:hAnsi="Arial" w:cs="Arial"/>
                                      <w:color w:val="000000"/>
                                      <w:lang w:eastAsia="en-US"/>
                                    </w:rPr>
                                  </w:pPr>
                                  <w:r>
                                    <w:rPr>
                                      <w:rFonts w:cs="Arial" w:ascii="Arial" w:hAnsi="Arial"/>
                                      <w:color w:val="000000"/>
                                      <w:lang w:eastAsia="en-US"/>
                                    </w:rPr>
                                    <w:t>Cooperatives</w:t>
                                  </w:r>
                                </w:p>
                              </w:tc>
                              <w:tc>
                                <w:tcPr>
                                  <w:tcW w:w="810" w:type="dxa"/>
                                  <w:tcBorders/>
                                </w:tcPr>
                                <w:p>
                                  <w:pPr>
                                    <w:pStyle w:val="Normal"/>
                                    <w:jc w:val="center"/>
                                    <w:rPr>
                                      <w:rFonts w:ascii="Arial" w:hAnsi="Arial" w:cs="Arial"/>
                                      <w:color w:val="000000"/>
                                      <w:lang w:eastAsia="en-US"/>
                                    </w:rPr>
                                  </w:pPr>
                                  <w:r>
                                    <w:rPr>
                                      <w:rFonts w:cs="Arial" w:ascii="Arial" w:hAnsi="Arial"/>
                                      <w:color w:val="000000"/>
                                      <w:lang w:eastAsia="en-US"/>
                                    </w:rPr>
                                    <w:t>1.5</w:t>
                                  </w:r>
                                </w:p>
                              </w:tc>
                              <w:tc>
                                <w:tcPr>
                                  <w:tcW w:w="1980" w:type="dxa"/>
                                  <w:tcBorders/>
                                </w:tcPr>
                                <w:p>
                                  <w:pPr>
                                    <w:pStyle w:val="Normal"/>
                                    <w:jc w:val="center"/>
                                    <w:rPr>
                                      <w:rFonts w:ascii="Arial" w:hAnsi="Arial" w:cs="Arial"/>
                                      <w:color w:val="000000"/>
                                      <w:lang w:eastAsia="en-US"/>
                                    </w:rPr>
                                  </w:pPr>
                                  <w:r>
                                    <w:rPr>
                                      <w:rFonts w:cs="Arial" w:ascii="Arial" w:hAnsi="Arial"/>
                                      <w:color w:val="000000"/>
                                      <w:lang w:eastAsia="en-US"/>
                                    </w:rPr>
                                    <w:t>4.8</w:t>
                                  </w:r>
                                </w:p>
                              </w:tc>
                            </w:tr>
                            <w:tr>
                              <w:trPr>
                                <w:trHeight w:val="247" w:hRule="atLeast"/>
                              </w:trPr>
                              <w:tc>
                                <w:tcPr>
                                  <w:tcW w:w="3630" w:type="dxa"/>
                                  <w:tcBorders/>
                                </w:tcPr>
                                <w:p>
                                  <w:pPr>
                                    <w:pStyle w:val="Normal"/>
                                    <w:spacing w:before="0" w:after="120"/>
                                    <w:rPr>
                                      <w:rFonts w:ascii="Arial" w:hAnsi="Arial" w:cs="Arial"/>
                                      <w:color w:val="000000"/>
                                      <w:lang w:eastAsia="en-US"/>
                                    </w:rPr>
                                  </w:pPr>
                                  <w:r>
                                    <w:rPr>
                                      <w:rFonts w:cs="Arial" w:ascii="Arial" w:hAnsi="Arial"/>
                                      <w:color w:val="000000"/>
                                      <w:lang w:eastAsia="en-US"/>
                                    </w:rPr>
                                    <w:t>Municipals/Public Power</w:t>
                                  </w:r>
                                </w:p>
                              </w:tc>
                              <w:tc>
                                <w:tcPr>
                                  <w:tcW w:w="810" w:type="dxa"/>
                                  <w:tcBorders/>
                                </w:tcPr>
                                <w:p>
                                  <w:pPr>
                                    <w:pStyle w:val="Normal"/>
                                    <w:jc w:val="center"/>
                                    <w:rPr>
                                      <w:rFonts w:ascii="Arial" w:hAnsi="Arial" w:cs="Arial"/>
                                      <w:color w:val="000000"/>
                                      <w:lang w:eastAsia="en-US"/>
                                    </w:rPr>
                                  </w:pPr>
                                  <w:r>
                                    <w:rPr>
                                      <w:rFonts w:cs="Arial" w:ascii="Arial" w:hAnsi="Arial"/>
                                      <w:color w:val="000000"/>
                                      <w:lang w:eastAsia="en-US"/>
                                    </w:rPr>
                                    <w:t>1.5</w:t>
                                  </w:r>
                                </w:p>
                              </w:tc>
                              <w:tc>
                                <w:tcPr>
                                  <w:tcW w:w="1980" w:type="dxa"/>
                                  <w:tcBorders/>
                                </w:tcPr>
                                <w:p>
                                  <w:pPr>
                                    <w:pStyle w:val="Normal"/>
                                    <w:jc w:val="center"/>
                                    <w:rPr>
                                      <w:rFonts w:ascii="Arial" w:hAnsi="Arial" w:cs="Arial"/>
                                      <w:color w:val="000000"/>
                                      <w:lang w:eastAsia="en-US"/>
                                    </w:rPr>
                                  </w:pPr>
                                  <w:r>
                                    <w:rPr>
                                      <w:rFonts w:cs="Arial" w:ascii="Arial" w:hAnsi="Arial"/>
                                      <w:color w:val="000000"/>
                                      <w:lang w:eastAsia="en-US"/>
                                    </w:rPr>
                                    <w:t>4.6</w:t>
                                  </w:r>
                                </w:p>
                              </w:tc>
                            </w:tr>
                            <w:tr>
                              <w:trPr>
                                <w:trHeight w:val="247" w:hRule="atLeast"/>
                              </w:trPr>
                              <w:tc>
                                <w:tcPr>
                                  <w:tcW w:w="3630" w:type="dxa"/>
                                  <w:tcBorders/>
                                </w:tcPr>
                                <w:p>
                                  <w:pPr>
                                    <w:pStyle w:val="Normal"/>
                                    <w:spacing w:before="0" w:after="120"/>
                                    <w:rPr>
                                      <w:rFonts w:ascii="Arial" w:hAnsi="Arial" w:cs="Arial"/>
                                      <w:color w:val="000000"/>
                                      <w:lang w:eastAsia="en-US"/>
                                    </w:rPr>
                                  </w:pPr>
                                  <w:r>
                                    <w:rPr>
                                      <w:rFonts w:cs="Arial" w:ascii="Arial" w:hAnsi="Arial"/>
                                      <w:color w:val="000000"/>
                                      <w:lang w:eastAsia="en-US"/>
                                    </w:rPr>
                                    <w:t>Industrials</w:t>
                                  </w:r>
                                </w:p>
                              </w:tc>
                              <w:tc>
                                <w:tcPr>
                                  <w:tcW w:w="810" w:type="dxa"/>
                                  <w:tcBorders/>
                                </w:tcPr>
                                <w:p>
                                  <w:pPr>
                                    <w:pStyle w:val="Normal"/>
                                    <w:jc w:val="center"/>
                                    <w:rPr>
                                      <w:rFonts w:ascii="Arial" w:hAnsi="Arial" w:cs="Arial"/>
                                      <w:color w:val="000000"/>
                                      <w:lang w:eastAsia="en-US"/>
                                    </w:rPr>
                                  </w:pPr>
                                  <w:r>
                                    <w:rPr>
                                      <w:rFonts w:cs="Arial" w:ascii="Arial" w:hAnsi="Arial"/>
                                      <w:color w:val="000000"/>
                                      <w:lang w:eastAsia="en-US"/>
                                    </w:rPr>
                                    <w:t>1.2</w:t>
                                  </w:r>
                                </w:p>
                              </w:tc>
                              <w:tc>
                                <w:tcPr>
                                  <w:tcW w:w="1980" w:type="dxa"/>
                                  <w:tcBorders/>
                                </w:tcPr>
                                <w:p>
                                  <w:pPr>
                                    <w:pStyle w:val="Normal"/>
                                    <w:jc w:val="center"/>
                                    <w:rPr>
                                      <w:rFonts w:ascii="Arial" w:hAnsi="Arial" w:cs="Arial"/>
                                      <w:color w:val="000000"/>
                                      <w:lang w:eastAsia="en-US"/>
                                    </w:rPr>
                                  </w:pPr>
                                  <w:r>
                                    <w:rPr>
                                      <w:rFonts w:cs="Arial" w:ascii="Arial" w:hAnsi="Arial"/>
                                      <w:color w:val="000000"/>
                                      <w:lang w:eastAsia="en-US"/>
                                    </w:rPr>
                                    <w:t>3.9</w:t>
                                  </w:r>
                                </w:p>
                              </w:tc>
                            </w:tr>
                            <w:tr>
                              <w:trPr>
                                <w:trHeight w:val="247" w:hRule="atLeast"/>
                              </w:trPr>
                              <w:tc>
                                <w:tcPr>
                                  <w:tcW w:w="3630" w:type="dxa"/>
                                  <w:tcBorders/>
                                </w:tcPr>
                                <w:p>
                                  <w:pPr>
                                    <w:pStyle w:val="Normal"/>
                                    <w:spacing w:before="0" w:after="120"/>
                                    <w:rPr>
                                      <w:rFonts w:ascii="Arial" w:hAnsi="Arial" w:cs="Arial"/>
                                      <w:color w:val="000000"/>
                                      <w:lang w:eastAsia="en-US"/>
                                    </w:rPr>
                                  </w:pPr>
                                  <w:r>
                                    <w:rPr>
                                      <w:rFonts w:cs="Arial" w:ascii="Arial" w:hAnsi="Arial"/>
                                      <w:color w:val="000000"/>
                                      <w:lang w:eastAsia="en-US"/>
                                    </w:rPr>
                                    <w:t>Power Pools, ISOs, PXs</w:t>
                                  </w:r>
                                </w:p>
                              </w:tc>
                              <w:tc>
                                <w:tcPr>
                                  <w:tcW w:w="810" w:type="dxa"/>
                                  <w:tcBorders/>
                                </w:tcPr>
                                <w:p>
                                  <w:pPr>
                                    <w:pStyle w:val="Normal"/>
                                    <w:jc w:val="center"/>
                                    <w:rPr>
                                      <w:rFonts w:ascii="Arial" w:hAnsi="Arial" w:cs="Arial"/>
                                      <w:color w:val="000000"/>
                                      <w:lang w:eastAsia="en-US"/>
                                    </w:rPr>
                                  </w:pPr>
                                  <w:r>
                                    <w:rPr>
                                      <w:rFonts w:cs="Arial" w:ascii="Arial" w:hAnsi="Arial"/>
                                      <w:color w:val="000000"/>
                                      <w:lang w:eastAsia="en-US"/>
                                    </w:rPr>
                                    <w:t>1.2</w:t>
                                  </w:r>
                                </w:p>
                              </w:tc>
                              <w:tc>
                                <w:tcPr>
                                  <w:tcW w:w="1980" w:type="dxa"/>
                                  <w:tcBorders/>
                                </w:tcPr>
                                <w:p>
                                  <w:pPr>
                                    <w:pStyle w:val="Normal"/>
                                    <w:jc w:val="center"/>
                                    <w:rPr>
                                      <w:rFonts w:ascii="Arial" w:hAnsi="Arial" w:cs="Arial"/>
                                      <w:color w:val="000000"/>
                                      <w:lang w:eastAsia="en-US"/>
                                    </w:rPr>
                                  </w:pPr>
                                  <w:r>
                                    <w:rPr>
                                      <w:rFonts w:cs="Arial" w:ascii="Arial" w:hAnsi="Arial"/>
                                      <w:color w:val="000000"/>
                                      <w:lang w:eastAsia="en-US"/>
                                    </w:rPr>
                                    <w:t>3.7</w:t>
                                  </w:r>
                                </w:p>
                              </w:tc>
                            </w:tr>
                            <w:tr>
                              <w:trPr>
                                <w:trHeight w:val="247" w:hRule="atLeast"/>
                              </w:trPr>
                              <w:tc>
                                <w:tcPr>
                                  <w:tcW w:w="3630" w:type="dxa"/>
                                  <w:tcBorders/>
                                </w:tcPr>
                                <w:p>
                                  <w:pPr>
                                    <w:pStyle w:val="Normal"/>
                                    <w:spacing w:before="0" w:after="120"/>
                                    <w:rPr>
                                      <w:rFonts w:ascii="Arial" w:hAnsi="Arial" w:cs="Arial"/>
                                      <w:color w:val="000000"/>
                                      <w:lang w:eastAsia="en-US"/>
                                    </w:rPr>
                                  </w:pPr>
                                  <w:r>
                                    <w:rPr>
                                      <w:rFonts w:cs="Arial" w:ascii="Arial" w:hAnsi="Arial"/>
                                      <w:color w:val="000000"/>
                                      <w:lang w:eastAsia="en-US"/>
                                    </w:rPr>
                                    <w:t>Federal (PMAs)</w:t>
                                  </w:r>
                                </w:p>
                              </w:tc>
                              <w:tc>
                                <w:tcPr>
                                  <w:tcW w:w="810" w:type="dxa"/>
                                  <w:tcBorders/>
                                </w:tcPr>
                                <w:p>
                                  <w:pPr>
                                    <w:pStyle w:val="Normal"/>
                                    <w:jc w:val="center"/>
                                    <w:rPr>
                                      <w:rFonts w:ascii="Arial" w:hAnsi="Arial" w:cs="Arial"/>
                                      <w:color w:val="000000"/>
                                      <w:lang w:eastAsia="en-US"/>
                                    </w:rPr>
                                  </w:pPr>
                                  <w:r>
                                    <w:rPr>
                                      <w:rFonts w:cs="Arial" w:ascii="Arial" w:hAnsi="Arial"/>
                                      <w:color w:val="000000"/>
                                      <w:lang w:eastAsia="en-US"/>
                                    </w:rPr>
                                    <w:t>0.7</w:t>
                                  </w:r>
                                </w:p>
                              </w:tc>
                              <w:tc>
                                <w:tcPr>
                                  <w:tcW w:w="1980" w:type="dxa"/>
                                  <w:tcBorders/>
                                </w:tcPr>
                                <w:p>
                                  <w:pPr>
                                    <w:pStyle w:val="Normal"/>
                                    <w:jc w:val="center"/>
                                    <w:rPr>
                                      <w:rFonts w:ascii="Arial" w:hAnsi="Arial" w:cs="Arial"/>
                                      <w:color w:val="000000"/>
                                      <w:lang w:eastAsia="en-US"/>
                                    </w:rPr>
                                  </w:pPr>
                                  <w:r>
                                    <w:rPr>
                                      <w:rFonts w:cs="Arial" w:ascii="Arial" w:hAnsi="Arial"/>
                                      <w:color w:val="000000"/>
                                      <w:lang w:eastAsia="en-US"/>
                                    </w:rPr>
                                    <w:t>2.2</w:t>
                                  </w:r>
                                </w:p>
                              </w:tc>
                            </w:tr>
                            <w:tr>
                              <w:trPr>
                                <w:trHeight w:val="247" w:hRule="atLeast"/>
                              </w:trPr>
                              <w:tc>
                                <w:tcPr>
                                  <w:tcW w:w="3630" w:type="dxa"/>
                                  <w:tcBorders/>
                                </w:tcPr>
                                <w:p>
                                  <w:pPr>
                                    <w:pStyle w:val="Normal"/>
                                    <w:spacing w:before="0" w:after="120"/>
                                    <w:rPr>
                                      <w:rFonts w:ascii="Arial" w:hAnsi="Arial" w:cs="Arial"/>
                                      <w:color w:val="000000"/>
                                      <w:lang w:eastAsia="en-US"/>
                                    </w:rPr>
                                  </w:pPr>
                                  <w:r>
                                    <w:rPr>
                                      <w:rFonts w:cs="Arial" w:ascii="Arial" w:hAnsi="Arial"/>
                                      <w:color w:val="000000"/>
                                      <w:lang w:eastAsia="en-US"/>
                                    </w:rPr>
                                    <w:t>Non-Utility Generators</w:t>
                                  </w:r>
                                </w:p>
                              </w:tc>
                              <w:tc>
                                <w:tcPr>
                                  <w:tcW w:w="810" w:type="dxa"/>
                                  <w:tcBorders/>
                                </w:tcPr>
                                <w:p>
                                  <w:pPr>
                                    <w:pStyle w:val="Normal"/>
                                    <w:jc w:val="center"/>
                                    <w:rPr>
                                      <w:rFonts w:ascii="Arial" w:hAnsi="Arial" w:cs="Arial"/>
                                      <w:color w:val="000000"/>
                                      <w:lang w:eastAsia="en-US"/>
                                    </w:rPr>
                                  </w:pPr>
                                  <w:r>
                                    <w:rPr>
                                      <w:rFonts w:cs="Arial" w:ascii="Arial" w:hAnsi="Arial"/>
                                      <w:color w:val="000000"/>
                                      <w:lang w:eastAsia="en-US"/>
                                    </w:rPr>
                                    <w:t>0.4</w:t>
                                  </w:r>
                                </w:p>
                              </w:tc>
                              <w:tc>
                                <w:tcPr>
                                  <w:tcW w:w="1980" w:type="dxa"/>
                                  <w:tcBorders/>
                                </w:tcPr>
                                <w:p>
                                  <w:pPr>
                                    <w:pStyle w:val="Normal"/>
                                    <w:jc w:val="center"/>
                                    <w:rPr>
                                      <w:rFonts w:ascii="Arial" w:hAnsi="Arial" w:cs="Arial"/>
                                      <w:color w:val="000000"/>
                                      <w:lang w:eastAsia="en-US"/>
                                    </w:rPr>
                                  </w:pPr>
                                  <w:r>
                                    <w:rPr>
                                      <w:rFonts w:cs="Arial" w:ascii="Arial" w:hAnsi="Arial"/>
                                      <w:color w:val="000000"/>
                                      <w:lang w:eastAsia="en-US"/>
                                    </w:rPr>
                                    <w:t>1.2</w:t>
                                  </w:r>
                                </w:p>
                              </w:tc>
                            </w:tr>
                            <w:tr>
                              <w:trPr>
                                <w:trHeight w:val="282" w:hRule="atLeast"/>
                              </w:trPr>
                              <w:tc>
                                <w:tcPr>
                                  <w:tcW w:w="3630" w:type="dxa"/>
                                  <w:tcBorders/>
                                </w:tcPr>
                                <w:p>
                                  <w:pPr>
                                    <w:pStyle w:val="Normal"/>
                                    <w:spacing w:before="0" w:after="120"/>
                                    <w:rPr>
                                      <w:rFonts w:ascii="Arial" w:hAnsi="Arial" w:cs="Arial"/>
                                      <w:color w:val="000000"/>
                                      <w:lang w:eastAsia="en-US"/>
                                    </w:rPr>
                                  </w:pPr>
                                  <w:r>
                                    <w:rPr>
                                      <w:rFonts w:cs="Arial" w:ascii="Arial" w:hAnsi="Arial"/>
                                      <w:color w:val="000000"/>
                                      <w:lang w:eastAsia="en-US"/>
                                    </w:rPr>
                                    <w:t>Foreign Utilities</w:t>
                                  </w:r>
                                </w:p>
                              </w:tc>
                              <w:tc>
                                <w:tcPr>
                                  <w:tcW w:w="810" w:type="dxa"/>
                                  <w:tcBorders/>
                                </w:tcPr>
                                <w:p>
                                  <w:pPr>
                                    <w:pStyle w:val="Normal"/>
                                    <w:jc w:val="center"/>
                                    <w:rPr>
                                      <w:rFonts w:ascii="Arial" w:hAnsi="Arial" w:cs="Arial"/>
                                      <w:color w:val="000000"/>
                                      <w:lang w:eastAsia="en-US"/>
                                    </w:rPr>
                                  </w:pPr>
                                  <w:r>
                                    <w:rPr>
                                      <w:rFonts w:cs="Arial" w:ascii="Arial" w:hAnsi="Arial"/>
                                      <w:color w:val="000000"/>
                                      <w:lang w:eastAsia="en-US"/>
                                    </w:rPr>
                                    <w:t>0.2</w:t>
                                  </w:r>
                                </w:p>
                              </w:tc>
                              <w:tc>
                                <w:tcPr>
                                  <w:tcW w:w="1980" w:type="dxa"/>
                                  <w:tcBorders/>
                                </w:tcPr>
                                <w:p>
                                  <w:pPr>
                                    <w:pStyle w:val="Normal"/>
                                    <w:jc w:val="center"/>
                                    <w:rPr>
                                      <w:rFonts w:ascii="Arial" w:hAnsi="Arial" w:cs="Arial"/>
                                      <w:color w:val="000000"/>
                                      <w:lang w:eastAsia="en-US"/>
                                    </w:rPr>
                                  </w:pPr>
                                  <w:r>
                                    <w:rPr>
                                      <w:rFonts w:cs="Arial" w:ascii="Arial" w:hAnsi="Arial"/>
                                      <w:color w:val="000000"/>
                                      <w:lang w:eastAsia="en-US"/>
                                    </w:rPr>
                                    <w:t>0.8</w:t>
                                  </w:r>
                                </w:p>
                              </w:tc>
                            </w:tr>
                          </w:tbl>
                          <w:p>
                            <w:pPr>
                              <w:pStyle w:val="Normal"/>
                              <w:rPr/>
                            </w:pPr>
                            <w:r>
                              <w:rPr/>
                            </w:r>
                          </w:p>
                        </w:txbxContent>
                      </wps:txbx>
                      <wps:bodyPr anchor="t" lIns="92075" tIns="46355" rIns="92075" bIns="46355">
                        <a:noAutofit/>
                      </wps:bodyPr>
                    </wps:wsp>
                  </a:graphicData>
                </a:graphic>
              </wp:anchor>
            </w:drawing>
          </mc:Choice>
          <mc:Fallback>
            <w:pict>
              <v:rect fillcolor="#FFFFFF" style="position:absolute;rotation:-0;width:338.4pt;height:221.7pt;mso-wrap-distance-left:9.05pt;mso-wrap-distance-right:9.05pt;mso-wrap-distance-top:0pt;mso-wrap-distance-bottom:0pt;margin-top:35.1pt;mso-position-vertical-relative:text;margin-left:97.2pt;mso-position-horizontal-relative:text">
                <v:fill opacity="0f"/>
                <v:textbox inset="0.100694444444444in,0.0506944444444444in,0.100694444444444in,0.0506944444444444in">
                  <w:txbxContent>
                    <w:tbl>
                      <w:tblPr>
                        <w:tblW w:w="6420" w:type="dxa"/>
                        <w:jc w:val="start"/>
                        <w:tblInd w:w="0" w:type="dxa"/>
                        <w:tblLayout w:type="fixed"/>
                        <w:tblCellMar>
                          <w:top w:w="0" w:type="dxa"/>
                          <w:start w:w="30" w:type="dxa"/>
                          <w:bottom w:w="0" w:type="dxa"/>
                          <w:end w:w="30" w:type="dxa"/>
                        </w:tblCellMar>
                      </w:tblPr>
                      <w:tblGrid>
                        <w:gridCol w:w="3630"/>
                        <w:gridCol w:w="810"/>
                        <w:gridCol w:w="1980"/>
                      </w:tblGrid>
                      <w:tr>
                        <w:trPr>
                          <w:trHeight w:val="247" w:hRule="atLeast"/>
                        </w:trPr>
                        <w:tc>
                          <w:tcPr>
                            <w:tcW w:w="3630" w:type="dxa"/>
                            <w:tcBorders>
                              <w:bottom w:val="single" w:sz="4" w:space="0" w:color="000000"/>
                            </w:tcBorders>
                          </w:tcPr>
                          <w:p>
                            <w:pPr>
                              <w:pStyle w:val="Normal"/>
                              <w:snapToGrid w:val="false"/>
                              <w:rPr>
                                <w:rFonts w:ascii="Arial" w:hAnsi="Arial" w:cs="Arial"/>
                                <w:b/>
                                <w:color w:val="000000"/>
                                <w:lang w:eastAsia="en-US"/>
                              </w:rPr>
                            </w:pPr>
                            <w:r>
                              <w:rPr>
                                <w:rFonts w:cs="Arial" w:ascii="Arial" w:hAnsi="Arial"/>
                                <w:b/>
                                <w:color w:val="000000"/>
                                <w:lang w:eastAsia="en-US"/>
                              </w:rPr>
                            </w:r>
                          </w:p>
                          <w:p>
                            <w:pPr>
                              <w:pStyle w:val="Normal"/>
                              <w:rPr>
                                <w:rFonts w:ascii="Arial" w:hAnsi="Arial" w:cs="Arial"/>
                                <w:b/>
                                <w:color w:val="000000"/>
                                <w:lang w:eastAsia="en-US"/>
                              </w:rPr>
                            </w:pPr>
                            <w:r>
                              <w:rPr>
                                <w:rFonts w:cs="Arial" w:ascii="Arial" w:hAnsi="Arial"/>
                                <w:b/>
                                <w:color w:val="000000"/>
                                <w:lang w:eastAsia="en-US"/>
                              </w:rPr>
                              <w:t>Counterparty Type</w:t>
                            </w:r>
                          </w:p>
                        </w:tc>
                        <w:tc>
                          <w:tcPr>
                            <w:tcW w:w="810" w:type="dxa"/>
                            <w:tcBorders>
                              <w:bottom w:val="single" w:sz="4" w:space="0" w:color="000000"/>
                            </w:tcBorders>
                          </w:tcPr>
                          <w:p>
                            <w:pPr>
                              <w:pStyle w:val="Normal"/>
                              <w:jc w:val="center"/>
                              <w:rPr>
                                <w:rFonts w:ascii="Arial" w:hAnsi="Arial" w:cs="Arial"/>
                                <w:b/>
                                <w:color w:val="000000"/>
                                <w:lang w:eastAsia="en-US"/>
                              </w:rPr>
                            </w:pPr>
                            <w:r>
                              <w:rPr>
                                <w:rFonts w:cs="Arial" w:ascii="Arial" w:hAnsi="Arial"/>
                                <w:b/>
                                <w:color w:val="000000"/>
                                <w:lang w:eastAsia="en-US"/>
                              </w:rPr>
                              <w:t>Total Share</w:t>
                            </w:r>
                          </w:p>
                        </w:tc>
                        <w:tc>
                          <w:tcPr>
                            <w:tcW w:w="1980" w:type="dxa"/>
                            <w:tcBorders>
                              <w:bottom w:val="single" w:sz="4" w:space="0" w:color="000000"/>
                            </w:tcBorders>
                          </w:tcPr>
                          <w:p>
                            <w:pPr>
                              <w:pStyle w:val="Normal"/>
                              <w:jc w:val="center"/>
                              <w:rPr>
                                <w:rFonts w:ascii="Arial" w:hAnsi="Arial" w:cs="Arial"/>
                                <w:b/>
                                <w:color w:val="000000"/>
                                <w:lang w:eastAsia="en-US"/>
                              </w:rPr>
                            </w:pPr>
                            <w:r>
                              <w:rPr>
                                <w:rFonts w:cs="Arial" w:ascii="Arial" w:hAnsi="Arial"/>
                                <w:b/>
                                <w:color w:val="000000"/>
                                <w:lang w:eastAsia="en-US"/>
                              </w:rPr>
                              <w:t>Non-Marketer Share</w:t>
                            </w:r>
                          </w:p>
                        </w:tc>
                      </w:tr>
                      <w:tr>
                        <w:trPr>
                          <w:trHeight w:val="247" w:hRule="atLeast"/>
                        </w:trPr>
                        <w:tc>
                          <w:tcPr>
                            <w:tcW w:w="3630" w:type="dxa"/>
                            <w:tcBorders/>
                          </w:tcPr>
                          <w:p>
                            <w:pPr>
                              <w:pStyle w:val="Normal"/>
                              <w:spacing w:before="0" w:after="120"/>
                              <w:rPr>
                                <w:rFonts w:ascii="Arial" w:hAnsi="Arial" w:cs="Arial"/>
                                <w:color w:val="000000"/>
                                <w:lang w:eastAsia="en-US"/>
                              </w:rPr>
                            </w:pPr>
                            <w:r>
                              <w:rPr>
                                <w:rFonts w:cs="Arial" w:ascii="Arial" w:hAnsi="Arial"/>
                                <w:color w:val="000000"/>
                                <w:lang w:eastAsia="en-US"/>
                              </w:rPr>
                              <w:t>Marketers</w:t>
                            </w:r>
                          </w:p>
                        </w:tc>
                        <w:tc>
                          <w:tcPr>
                            <w:tcW w:w="810" w:type="dxa"/>
                            <w:tcBorders/>
                          </w:tcPr>
                          <w:p>
                            <w:pPr>
                              <w:pStyle w:val="Normal"/>
                              <w:jc w:val="center"/>
                              <w:rPr>
                                <w:rFonts w:ascii="Arial" w:hAnsi="Arial" w:cs="Arial"/>
                                <w:color w:val="000000"/>
                                <w:lang w:eastAsia="en-US"/>
                              </w:rPr>
                            </w:pPr>
                            <w:r>
                              <w:rPr>
                                <w:rFonts w:cs="Arial" w:ascii="Arial" w:hAnsi="Arial"/>
                                <w:color w:val="000000"/>
                                <w:lang w:eastAsia="en-US"/>
                              </w:rPr>
                              <w:t>68.4</w:t>
                            </w:r>
                          </w:p>
                        </w:tc>
                        <w:tc>
                          <w:tcPr>
                            <w:tcW w:w="1980"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r>
                      <w:tr>
                        <w:trPr>
                          <w:trHeight w:val="247" w:hRule="atLeast"/>
                        </w:trPr>
                        <w:tc>
                          <w:tcPr>
                            <w:tcW w:w="3630" w:type="dxa"/>
                            <w:tcBorders/>
                          </w:tcPr>
                          <w:p>
                            <w:pPr>
                              <w:pStyle w:val="Normal"/>
                              <w:spacing w:before="0" w:after="120"/>
                              <w:rPr>
                                <w:rFonts w:ascii="Arial" w:hAnsi="Arial" w:cs="Arial"/>
                                <w:color w:val="000000"/>
                                <w:lang w:eastAsia="en-US"/>
                              </w:rPr>
                            </w:pPr>
                            <w:r>
                              <w:rPr>
                                <w:rFonts w:cs="Arial" w:ascii="Arial" w:hAnsi="Arial"/>
                                <w:color w:val="000000"/>
                                <w:lang w:eastAsia="en-US"/>
                              </w:rPr>
                              <w:t>Investor-Owned Utilities</w:t>
                            </w:r>
                          </w:p>
                        </w:tc>
                        <w:tc>
                          <w:tcPr>
                            <w:tcW w:w="810" w:type="dxa"/>
                            <w:tcBorders/>
                          </w:tcPr>
                          <w:p>
                            <w:pPr>
                              <w:pStyle w:val="Normal"/>
                              <w:jc w:val="center"/>
                              <w:rPr>
                                <w:rFonts w:ascii="Arial" w:hAnsi="Arial" w:cs="Arial"/>
                                <w:color w:val="000000"/>
                                <w:lang w:eastAsia="en-US"/>
                              </w:rPr>
                            </w:pPr>
                            <w:r>
                              <w:rPr>
                                <w:rFonts w:cs="Arial" w:ascii="Arial" w:hAnsi="Arial"/>
                                <w:color w:val="000000"/>
                                <w:lang w:eastAsia="en-US"/>
                              </w:rPr>
                              <w:t>24.9</w:t>
                            </w:r>
                          </w:p>
                        </w:tc>
                        <w:tc>
                          <w:tcPr>
                            <w:tcW w:w="1980" w:type="dxa"/>
                            <w:tcBorders/>
                          </w:tcPr>
                          <w:p>
                            <w:pPr>
                              <w:pStyle w:val="Normal"/>
                              <w:jc w:val="center"/>
                              <w:rPr>
                                <w:rFonts w:ascii="Arial" w:hAnsi="Arial" w:cs="Arial"/>
                                <w:color w:val="000000"/>
                                <w:lang w:eastAsia="en-US"/>
                              </w:rPr>
                            </w:pPr>
                            <w:r>
                              <w:rPr>
                                <w:rFonts w:cs="Arial" w:ascii="Arial" w:hAnsi="Arial"/>
                                <w:color w:val="000000"/>
                                <w:lang w:eastAsia="en-US"/>
                              </w:rPr>
                              <w:t>78.9</w:t>
                            </w:r>
                          </w:p>
                        </w:tc>
                      </w:tr>
                      <w:tr>
                        <w:trPr>
                          <w:trHeight w:val="247" w:hRule="atLeast"/>
                        </w:trPr>
                        <w:tc>
                          <w:tcPr>
                            <w:tcW w:w="3630" w:type="dxa"/>
                            <w:tcBorders/>
                          </w:tcPr>
                          <w:p>
                            <w:pPr>
                              <w:pStyle w:val="Normal"/>
                              <w:spacing w:before="0" w:after="120"/>
                              <w:rPr>
                                <w:rFonts w:ascii="Arial" w:hAnsi="Arial" w:cs="Arial"/>
                                <w:color w:val="000000"/>
                                <w:lang w:eastAsia="en-US"/>
                              </w:rPr>
                            </w:pPr>
                            <w:r>
                              <w:rPr>
                                <w:rFonts w:cs="Arial" w:ascii="Arial" w:hAnsi="Arial"/>
                                <w:color w:val="000000"/>
                                <w:lang w:eastAsia="en-US"/>
                              </w:rPr>
                              <w:t>Cooperatives</w:t>
                            </w:r>
                          </w:p>
                        </w:tc>
                        <w:tc>
                          <w:tcPr>
                            <w:tcW w:w="810" w:type="dxa"/>
                            <w:tcBorders/>
                          </w:tcPr>
                          <w:p>
                            <w:pPr>
                              <w:pStyle w:val="Normal"/>
                              <w:jc w:val="center"/>
                              <w:rPr>
                                <w:rFonts w:ascii="Arial" w:hAnsi="Arial" w:cs="Arial"/>
                                <w:color w:val="000000"/>
                                <w:lang w:eastAsia="en-US"/>
                              </w:rPr>
                            </w:pPr>
                            <w:r>
                              <w:rPr>
                                <w:rFonts w:cs="Arial" w:ascii="Arial" w:hAnsi="Arial"/>
                                <w:color w:val="000000"/>
                                <w:lang w:eastAsia="en-US"/>
                              </w:rPr>
                              <w:t>1.5</w:t>
                            </w:r>
                          </w:p>
                        </w:tc>
                        <w:tc>
                          <w:tcPr>
                            <w:tcW w:w="1980" w:type="dxa"/>
                            <w:tcBorders/>
                          </w:tcPr>
                          <w:p>
                            <w:pPr>
                              <w:pStyle w:val="Normal"/>
                              <w:jc w:val="center"/>
                              <w:rPr>
                                <w:rFonts w:ascii="Arial" w:hAnsi="Arial" w:cs="Arial"/>
                                <w:color w:val="000000"/>
                                <w:lang w:eastAsia="en-US"/>
                              </w:rPr>
                            </w:pPr>
                            <w:r>
                              <w:rPr>
                                <w:rFonts w:cs="Arial" w:ascii="Arial" w:hAnsi="Arial"/>
                                <w:color w:val="000000"/>
                                <w:lang w:eastAsia="en-US"/>
                              </w:rPr>
                              <w:t>4.8</w:t>
                            </w:r>
                          </w:p>
                        </w:tc>
                      </w:tr>
                      <w:tr>
                        <w:trPr>
                          <w:trHeight w:val="247" w:hRule="atLeast"/>
                        </w:trPr>
                        <w:tc>
                          <w:tcPr>
                            <w:tcW w:w="3630" w:type="dxa"/>
                            <w:tcBorders/>
                          </w:tcPr>
                          <w:p>
                            <w:pPr>
                              <w:pStyle w:val="Normal"/>
                              <w:spacing w:before="0" w:after="120"/>
                              <w:rPr>
                                <w:rFonts w:ascii="Arial" w:hAnsi="Arial" w:cs="Arial"/>
                                <w:color w:val="000000"/>
                                <w:lang w:eastAsia="en-US"/>
                              </w:rPr>
                            </w:pPr>
                            <w:r>
                              <w:rPr>
                                <w:rFonts w:cs="Arial" w:ascii="Arial" w:hAnsi="Arial"/>
                                <w:color w:val="000000"/>
                                <w:lang w:eastAsia="en-US"/>
                              </w:rPr>
                              <w:t>Municipals/Public Power</w:t>
                            </w:r>
                          </w:p>
                        </w:tc>
                        <w:tc>
                          <w:tcPr>
                            <w:tcW w:w="810" w:type="dxa"/>
                            <w:tcBorders/>
                          </w:tcPr>
                          <w:p>
                            <w:pPr>
                              <w:pStyle w:val="Normal"/>
                              <w:jc w:val="center"/>
                              <w:rPr>
                                <w:rFonts w:ascii="Arial" w:hAnsi="Arial" w:cs="Arial"/>
                                <w:color w:val="000000"/>
                                <w:lang w:eastAsia="en-US"/>
                              </w:rPr>
                            </w:pPr>
                            <w:r>
                              <w:rPr>
                                <w:rFonts w:cs="Arial" w:ascii="Arial" w:hAnsi="Arial"/>
                                <w:color w:val="000000"/>
                                <w:lang w:eastAsia="en-US"/>
                              </w:rPr>
                              <w:t>1.5</w:t>
                            </w:r>
                          </w:p>
                        </w:tc>
                        <w:tc>
                          <w:tcPr>
                            <w:tcW w:w="1980" w:type="dxa"/>
                            <w:tcBorders/>
                          </w:tcPr>
                          <w:p>
                            <w:pPr>
                              <w:pStyle w:val="Normal"/>
                              <w:jc w:val="center"/>
                              <w:rPr>
                                <w:rFonts w:ascii="Arial" w:hAnsi="Arial" w:cs="Arial"/>
                                <w:color w:val="000000"/>
                                <w:lang w:eastAsia="en-US"/>
                              </w:rPr>
                            </w:pPr>
                            <w:r>
                              <w:rPr>
                                <w:rFonts w:cs="Arial" w:ascii="Arial" w:hAnsi="Arial"/>
                                <w:color w:val="000000"/>
                                <w:lang w:eastAsia="en-US"/>
                              </w:rPr>
                              <w:t>4.6</w:t>
                            </w:r>
                          </w:p>
                        </w:tc>
                      </w:tr>
                      <w:tr>
                        <w:trPr>
                          <w:trHeight w:val="247" w:hRule="atLeast"/>
                        </w:trPr>
                        <w:tc>
                          <w:tcPr>
                            <w:tcW w:w="3630" w:type="dxa"/>
                            <w:tcBorders/>
                          </w:tcPr>
                          <w:p>
                            <w:pPr>
                              <w:pStyle w:val="Normal"/>
                              <w:spacing w:before="0" w:after="120"/>
                              <w:rPr>
                                <w:rFonts w:ascii="Arial" w:hAnsi="Arial" w:cs="Arial"/>
                                <w:color w:val="000000"/>
                                <w:lang w:eastAsia="en-US"/>
                              </w:rPr>
                            </w:pPr>
                            <w:r>
                              <w:rPr>
                                <w:rFonts w:cs="Arial" w:ascii="Arial" w:hAnsi="Arial"/>
                                <w:color w:val="000000"/>
                                <w:lang w:eastAsia="en-US"/>
                              </w:rPr>
                              <w:t>Industrials</w:t>
                            </w:r>
                          </w:p>
                        </w:tc>
                        <w:tc>
                          <w:tcPr>
                            <w:tcW w:w="810" w:type="dxa"/>
                            <w:tcBorders/>
                          </w:tcPr>
                          <w:p>
                            <w:pPr>
                              <w:pStyle w:val="Normal"/>
                              <w:jc w:val="center"/>
                              <w:rPr>
                                <w:rFonts w:ascii="Arial" w:hAnsi="Arial" w:cs="Arial"/>
                                <w:color w:val="000000"/>
                                <w:lang w:eastAsia="en-US"/>
                              </w:rPr>
                            </w:pPr>
                            <w:r>
                              <w:rPr>
                                <w:rFonts w:cs="Arial" w:ascii="Arial" w:hAnsi="Arial"/>
                                <w:color w:val="000000"/>
                                <w:lang w:eastAsia="en-US"/>
                              </w:rPr>
                              <w:t>1.2</w:t>
                            </w:r>
                          </w:p>
                        </w:tc>
                        <w:tc>
                          <w:tcPr>
                            <w:tcW w:w="1980" w:type="dxa"/>
                            <w:tcBorders/>
                          </w:tcPr>
                          <w:p>
                            <w:pPr>
                              <w:pStyle w:val="Normal"/>
                              <w:jc w:val="center"/>
                              <w:rPr>
                                <w:rFonts w:ascii="Arial" w:hAnsi="Arial" w:cs="Arial"/>
                                <w:color w:val="000000"/>
                                <w:lang w:eastAsia="en-US"/>
                              </w:rPr>
                            </w:pPr>
                            <w:r>
                              <w:rPr>
                                <w:rFonts w:cs="Arial" w:ascii="Arial" w:hAnsi="Arial"/>
                                <w:color w:val="000000"/>
                                <w:lang w:eastAsia="en-US"/>
                              </w:rPr>
                              <w:t>3.9</w:t>
                            </w:r>
                          </w:p>
                        </w:tc>
                      </w:tr>
                      <w:tr>
                        <w:trPr>
                          <w:trHeight w:val="247" w:hRule="atLeast"/>
                        </w:trPr>
                        <w:tc>
                          <w:tcPr>
                            <w:tcW w:w="3630" w:type="dxa"/>
                            <w:tcBorders/>
                          </w:tcPr>
                          <w:p>
                            <w:pPr>
                              <w:pStyle w:val="Normal"/>
                              <w:spacing w:before="0" w:after="120"/>
                              <w:rPr>
                                <w:rFonts w:ascii="Arial" w:hAnsi="Arial" w:cs="Arial"/>
                                <w:color w:val="000000"/>
                                <w:lang w:eastAsia="en-US"/>
                              </w:rPr>
                            </w:pPr>
                            <w:r>
                              <w:rPr>
                                <w:rFonts w:cs="Arial" w:ascii="Arial" w:hAnsi="Arial"/>
                                <w:color w:val="000000"/>
                                <w:lang w:eastAsia="en-US"/>
                              </w:rPr>
                              <w:t>Power Pools, ISOs, PXs</w:t>
                            </w:r>
                          </w:p>
                        </w:tc>
                        <w:tc>
                          <w:tcPr>
                            <w:tcW w:w="810" w:type="dxa"/>
                            <w:tcBorders/>
                          </w:tcPr>
                          <w:p>
                            <w:pPr>
                              <w:pStyle w:val="Normal"/>
                              <w:jc w:val="center"/>
                              <w:rPr>
                                <w:rFonts w:ascii="Arial" w:hAnsi="Arial" w:cs="Arial"/>
                                <w:color w:val="000000"/>
                                <w:lang w:eastAsia="en-US"/>
                              </w:rPr>
                            </w:pPr>
                            <w:r>
                              <w:rPr>
                                <w:rFonts w:cs="Arial" w:ascii="Arial" w:hAnsi="Arial"/>
                                <w:color w:val="000000"/>
                                <w:lang w:eastAsia="en-US"/>
                              </w:rPr>
                              <w:t>1.2</w:t>
                            </w:r>
                          </w:p>
                        </w:tc>
                        <w:tc>
                          <w:tcPr>
                            <w:tcW w:w="1980" w:type="dxa"/>
                            <w:tcBorders/>
                          </w:tcPr>
                          <w:p>
                            <w:pPr>
                              <w:pStyle w:val="Normal"/>
                              <w:jc w:val="center"/>
                              <w:rPr>
                                <w:rFonts w:ascii="Arial" w:hAnsi="Arial" w:cs="Arial"/>
                                <w:color w:val="000000"/>
                                <w:lang w:eastAsia="en-US"/>
                              </w:rPr>
                            </w:pPr>
                            <w:r>
                              <w:rPr>
                                <w:rFonts w:cs="Arial" w:ascii="Arial" w:hAnsi="Arial"/>
                                <w:color w:val="000000"/>
                                <w:lang w:eastAsia="en-US"/>
                              </w:rPr>
                              <w:t>3.7</w:t>
                            </w:r>
                          </w:p>
                        </w:tc>
                      </w:tr>
                      <w:tr>
                        <w:trPr>
                          <w:trHeight w:val="247" w:hRule="atLeast"/>
                        </w:trPr>
                        <w:tc>
                          <w:tcPr>
                            <w:tcW w:w="3630" w:type="dxa"/>
                            <w:tcBorders/>
                          </w:tcPr>
                          <w:p>
                            <w:pPr>
                              <w:pStyle w:val="Normal"/>
                              <w:spacing w:before="0" w:after="120"/>
                              <w:rPr>
                                <w:rFonts w:ascii="Arial" w:hAnsi="Arial" w:cs="Arial"/>
                                <w:color w:val="000000"/>
                                <w:lang w:eastAsia="en-US"/>
                              </w:rPr>
                            </w:pPr>
                            <w:r>
                              <w:rPr>
                                <w:rFonts w:cs="Arial" w:ascii="Arial" w:hAnsi="Arial"/>
                                <w:color w:val="000000"/>
                                <w:lang w:eastAsia="en-US"/>
                              </w:rPr>
                              <w:t>Federal (PMAs)</w:t>
                            </w:r>
                          </w:p>
                        </w:tc>
                        <w:tc>
                          <w:tcPr>
                            <w:tcW w:w="810" w:type="dxa"/>
                            <w:tcBorders/>
                          </w:tcPr>
                          <w:p>
                            <w:pPr>
                              <w:pStyle w:val="Normal"/>
                              <w:jc w:val="center"/>
                              <w:rPr>
                                <w:rFonts w:ascii="Arial" w:hAnsi="Arial" w:cs="Arial"/>
                                <w:color w:val="000000"/>
                                <w:lang w:eastAsia="en-US"/>
                              </w:rPr>
                            </w:pPr>
                            <w:r>
                              <w:rPr>
                                <w:rFonts w:cs="Arial" w:ascii="Arial" w:hAnsi="Arial"/>
                                <w:color w:val="000000"/>
                                <w:lang w:eastAsia="en-US"/>
                              </w:rPr>
                              <w:t>0.7</w:t>
                            </w:r>
                          </w:p>
                        </w:tc>
                        <w:tc>
                          <w:tcPr>
                            <w:tcW w:w="1980" w:type="dxa"/>
                            <w:tcBorders/>
                          </w:tcPr>
                          <w:p>
                            <w:pPr>
                              <w:pStyle w:val="Normal"/>
                              <w:jc w:val="center"/>
                              <w:rPr>
                                <w:rFonts w:ascii="Arial" w:hAnsi="Arial" w:cs="Arial"/>
                                <w:color w:val="000000"/>
                                <w:lang w:eastAsia="en-US"/>
                              </w:rPr>
                            </w:pPr>
                            <w:r>
                              <w:rPr>
                                <w:rFonts w:cs="Arial" w:ascii="Arial" w:hAnsi="Arial"/>
                                <w:color w:val="000000"/>
                                <w:lang w:eastAsia="en-US"/>
                              </w:rPr>
                              <w:t>2.2</w:t>
                            </w:r>
                          </w:p>
                        </w:tc>
                      </w:tr>
                      <w:tr>
                        <w:trPr>
                          <w:trHeight w:val="247" w:hRule="atLeast"/>
                        </w:trPr>
                        <w:tc>
                          <w:tcPr>
                            <w:tcW w:w="3630" w:type="dxa"/>
                            <w:tcBorders/>
                          </w:tcPr>
                          <w:p>
                            <w:pPr>
                              <w:pStyle w:val="Normal"/>
                              <w:spacing w:before="0" w:after="120"/>
                              <w:rPr>
                                <w:rFonts w:ascii="Arial" w:hAnsi="Arial" w:cs="Arial"/>
                                <w:color w:val="000000"/>
                                <w:lang w:eastAsia="en-US"/>
                              </w:rPr>
                            </w:pPr>
                            <w:r>
                              <w:rPr>
                                <w:rFonts w:cs="Arial" w:ascii="Arial" w:hAnsi="Arial"/>
                                <w:color w:val="000000"/>
                                <w:lang w:eastAsia="en-US"/>
                              </w:rPr>
                              <w:t>Non-Utility Generators</w:t>
                            </w:r>
                          </w:p>
                        </w:tc>
                        <w:tc>
                          <w:tcPr>
                            <w:tcW w:w="810" w:type="dxa"/>
                            <w:tcBorders/>
                          </w:tcPr>
                          <w:p>
                            <w:pPr>
                              <w:pStyle w:val="Normal"/>
                              <w:jc w:val="center"/>
                              <w:rPr>
                                <w:rFonts w:ascii="Arial" w:hAnsi="Arial" w:cs="Arial"/>
                                <w:color w:val="000000"/>
                                <w:lang w:eastAsia="en-US"/>
                              </w:rPr>
                            </w:pPr>
                            <w:r>
                              <w:rPr>
                                <w:rFonts w:cs="Arial" w:ascii="Arial" w:hAnsi="Arial"/>
                                <w:color w:val="000000"/>
                                <w:lang w:eastAsia="en-US"/>
                              </w:rPr>
                              <w:t>0.4</w:t>
                            </w:r>
                          </w:p>
                        </w:tc>
                        <w:tc>
                          <w:tcPr>
                            <w:tcW w:w="1980" w:type="dxa"/>
                            <w:tcBorders/>
                          </w:tcPr>
                          <w:p>
                            <w:pPr>
                              <w:pStyle w:val="Normal"/>
                              <w:jc w:val="center"/>
                              <w:rPr>
                                <w:rFonts w:ascii="Arial" w:hAnsi="Arial" w:cs="Arial"/>
                                <w:color w:val="000000"/>
                                <w:lang w:eastAsia="en-US"/>
                              </w:rPr>
                            </w:pPr>
                            <w:r>
                              <w:rPr>
                                <w:rFonts w:cs="Arial" w:ascii="Arial" w:hAnsi="Arial"/>
                                <w:color w:val="000000"/>
                                <w:lang w:eastAsia="en-US"/>
                              </w:rPr>
                              <w:t>1.2</w:t>
                            </w:r>
                          </w:p>
                        </w:tc>
                      </w:tr>
                      <w:tr>
                        <w:trPr>
                          <w:trHeight w:val="282" w:hRule="atLeast"/>
                        </w:trPr>
                        <w:tc>
                          <w:tcPr>
                            <w:tcW w:w="3630" w:type="dxa"/>
                            <w:tcBorders/>
                          </w:tcPr>
                          <w:p>
                            <w:pPr>
                              <w:pStyle w:val="Normal"/>
                              <w:spacing w:before="0" w:after="120"/>
                              <w:rPr>
                                <w:rFonts w:ascii="Arial" w:hAnsi="Arial" w:cs="Arial"/>
                                <w:color w:val="000000"/>
                                <w:lang w:eastAsia="en-US"/>
                              </w:rPr>
                            </w:pPr>
                            <w:r>
                              <w:rPr>
                                <w:rFonts w:cs="Arial" w:ascii="Arial" w:hAnsi="Arial"/>
                                <w:color w:val="000000"/>
                                <w:lang w:eastAsia="en-US"/>
                              </w:rPr>
                              <w:t>Foreign Utilities</w:t>
                            </w:r>
                          </w:p>
                        </w:tc>
                        <w:tc>
                          <w:tcPr>
                            <w:tcW w:w="810" w:type="dxa"/>
                            <w:tcBorders/>
                          </w:tcPr>
                          <w:p>
                            <w:pPr>
                              <w:pStyle w:val="Normal"/>
                              <w:jc w:val="center"/>
                              <w:rPr>
                                <w:rFonts w:ascii="Arial" w:hAnsi="Arial" w:cs="Arial"/>
                                <w:color w:val="000000"/>
                                <w:lang w:eastAsia="en-US"/>
                              </w:rPr>
                            </w:pPr>
                            <w:r>
                              <w:rPr>
                                <w:rFonts w:cs="Arial" w:ascii="Arial" w:hAnsi="Arial"/>
                                <w:color w:val="000000"/>
                                <w:lang w:eastAsia="en-US"/>
                              </w:rPr>
                              <w:t>0.2</w:t>
                            </w:r>
                          </w:p>
                        </w:tc>
                        <w:tc>
                          <w:tcPr>
                            <w:tcW w:w="1980" w:type="dxa"/>
                            <w:tcBorders/>
                          </w:tcPr>
                          <w:p>
                            <w:pPr>
                              <w:pStyle w:val="Normal"/>
                              <w:jc w:val="center"/>
                              <w:rPr>
                                <w:rFonts w:ascii="Arial" w:hAnsi="Arial" w:cs="Arial"/>
                                <w:color w:val="000000"/>
                                <w:lang w:eastAsia="en-US"/>
                              </w:rPr>
                            </w:pPr>
                            <w:r>
                              <w:rPr>
                                <w:rFonts w:cs="Arial" w:ascii="Arial" w:hAnsi="Arial"/>
                                <w:color w:val="000000"/>
                                <w:lang w:eastAsia="en-US"/>
                              </w:rPr>
                              <w:t>0.8</w:t>
                            </w:r>
                          </w:p>
                        </w:tc>
                      </w:tr>
                    </w:tbl>
                    <w:p>
                      <w:pPr>
                        <w:pStyle w:val="Normal"/>
                        <w:rPr/>
                      </w:pPr>
                      <w:r>
                        <w:rPr/>
                      </w:r>
                    </w:p>
                  </w:txbxContent>
                </v:textbox>
                <w10:wrap type="none"/>
              </v:rect>
            </w:pict>
          </mc:Fallback>
        </mc:AlternateContent>
      </w:r>
    </w:p>
    <w:p>
      <w:pPr>
        <w:pStyle w:val="Normal"/>
        <w:rPr>
          <w:rFonts w:ascii="CG Times;Times New Roman" w:hAnsi="CG Times;Times New Roman" w:cs="CG Times;Times New Roman"/>
          <w:b/>
          <w:lang w:val="en-CA"/>
        </w:rPr>
      </w:pPr>
      <w:r>
        <w:rPr>
          <w:rFonts w:cs="CG Times;Times New Roman" w:ascii="CG Times;Times New Roman" w:hAnsi="CG Times;Times New Roman"/>
          <w:b/>
          <w:lang w:val="en-CA"/>
        </w:rPr>
        <w:drawing>
          <wp:anchor behindDoc="0" distT="0" distB="0" distL="114935" distR="114935" simplePos="0" locked="0" layoutInCell="0" allowOverlap="1" relativeHeight="2">
            <wp:simplePos x="0" y="0"/>
            <wp:positionH relativeFrom="column">
              <wp:posOffset>-411480</wp:posOffset>
            </wp:positionH>
            <wp:positionV relativeFrom="paragraph">
              <wp:posOffset>133350</wp:posOffset>
            </wp:positionV>
            <wp:extent cx="2566670" cy="2681605"/>
            <wp:effectExtent l="0" t="0" r="0" b="0"/>
            <wp:wrapTopAndBottom/>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a:srcRect l="-2147483648" t="-2147483648" r="-2147483648" b="-2147483648"/>
                    <a:stretch>
                      <a:fillRect/>
                    </a:stretch>
                  </pic:blipFill>
                  <pic:spPr bwMode="auto">
                    <a:xfrm>
                      <a:off x="0" y="0"/>
                      <a:ext cx="2566670" cy="2681605"/>
                    </a:xfrm>
                    <a:prstGeom prst="rect">
                      <a:avLst/>
                    </a:prstGeom>
                    <a:noFill/>
                  </pic:spPr>
                </pic:pic>
              </a:graphicData>
            </a:graphic>
          </wp:anchor>
        </w:drawing>
      </w:r>
    </w:p>
    <w:p>
      <w:pPr>
        <w:pStyle w:val="Normal"/>
        <w:ind w:hanging="720" w:start="720" w:end="0"/>
        <w:rPr/>
      </w:pPr>
      <w:r>
        <w:rPr/>
        <w:t xml:space="preserve">Source: </w:t>
      </w:r>
      <w:r>
        <w:rPr>
          <w:i/>
        </w:rPr>
        <w:t xml:space="preserve">Power Marketing in 1998: Sales Data and Trends, </w:t>
      </w:r>
      <w:r>
        <w:rPr/>
        <w:t>1999 Power Marketers Yearbook — Summary Analysis, p. 21.</w:t>
      </w:r>
    </w:p>
    <w:p>
      <w:pPr>
        <w:pStyle w:val="Normal"/>
        <w:ind w:hanging="720" w:start="720" w:end="0"/>
        <w:rPr>
          <w:lang w:val="en-CA"/>
        </w:rPr>
      </w:pPr>
      <w:r>
        <w:rPr>
          <w:lang w:val="en-CA"/>
        </w:rPr>
        <w:drawing>
          <wp:anchor behindDoc="0" distT="0" distB="0" distL="114935" distR="114935" simplePos="0" locked="0" layoutInCell="0" allowOverlap="1" relativeHeight="4">
            <wp:simplePos x="0" y="0"/>
            <wp:positionH relativeFrom="column">
              <wp:posOffset>-411480</wp:posOffset>
            </wp:positionH>
            <wp:positionV relativeFrom="paragraph">
              <wp:posOffset>443230</wp:posOffset>
            </wp:positionV>
            <wp:extent cx="2566670" cy="2681605"/>
            <wp:effectExtent l="0" t="0" r="0" b="0"/>
            <wp:wrapTopAndBottom/>
            <wp:docPr id="3"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descr="" title=""/>
                    <pic:cNvPicPr>
                      <a:picLocks noChangeAspect="1" noChangeArrowheads="1"/>
                    </pic:cNvPicPr>
                  </pic:nvPicPr>
                  <pic:blipFill>
                    <a:blip/>
                    <a:srcRect l="-2147483648" t="-2147483648" r="-2147483648" b="-2147483648"/>
                    <a:stretch>
                      <a:fillRect/>
                    </a:stretch>
                  </pic:blipFill>
                  <pic:spPr bwMode="auto">
                    <a:xfrm>
                      <a:off x="0" y="0"/>
                      <a:ext cx="2566670" cy="2681605"/>
                    </a:xfrm>
                    <a:prstGeom prst="rect">
                      <a:avLst/>
                    </a:prstGeom>
                    <a:noFill/>
                  </pic:spPr>
                </pic:pic>
              </a:graphicData>
            </a:graphic>
          </wp:anchor>
        </w:drawing>
      </w:r>
    </w:p>
    <w:p>
      <w:pPr>
        <w:pStyle w:val="Heading2"/>
        <w:rPr>
          <w:b w:val="false"/>
        </w:rPr>
      </w:pPr>
      <w:r>
        <w:rPr>
          <w:b w:val="false"/>
        </w:rPr>
        <w:t xml:space="preserve">Purchases from </w:t>
      </w:r>
      <w:r>
        <w:rPr>
          <w:b w:val="false"/>
          <w:lang w:val="en-CA"/>
        </w:rPr>
        <w:t>Marketers</w:t>
      </w:r>
      <w:r>
        <w:fldChar w:fldCharType="begin"/>
      </w:r>
      <w:r>
        <w:rPr/>
        <w:instrText xml:space="preserve"> TC "Purchases from Marketers" \l 3 </w:instrText>
      </w:r>
      <w:r>
        <w:rPr/>
        <w:fldChar w:fldCharType="separate"/>
      </w:r>
      <w:r>
        <w:rPr/>
      </w:r>
      <w:r>
        <w:rPr/>
        <w:fldChar w:fldCharType="end"/>
      </w:r>
      <w:bookmarkStart w:id="15" w:name="__RefHeading___Toc494713825"/>
      <w:bookmarkEnd w:id="15"/>
      <w:r>
        <mc:AlternateContent>
          <mc:Choice Requires="wps">
            <w:drawing>
              <wp:anchor behindDoc="0" distT="0" distB="0" distL="114935" distR="114935" simplePos="0" locked="0" layoutInCell="1" allowOverlap="1" relativeHeight="5">
                <wp:simplePos x="0" y="0"/>
                <wp:positionH relativeFrom="column">
                  <wp:posOffset>1234440</wp:posOffset>
                </wp:positionH>
                <wp:positionV relativeFrom="paragraph">
                  <wp:posOffset>359410</wp:posOffset>
                </wp:positionV>
                <wp:extent cx="4389120" cy="2743200"/>
                <wp:effectExtent l="0" t="0" r="0" b="0"/>
                <wp:wrapNone/>
                <wp:docPr id="4" name="Frame2"/>
                <a:graphic xmlns:a="http://schemas.openxmlformats.org/drawingml/2006/main">
                  <a:graphicData uri="http://schemas.microsoft.com/office/word/2010/wordprocessingShape">
                    <wps:wsp>
                      <wps:cNvSpPr txBox="1"/>
                      <wps:spPr>
                        <a:xfrm>
                          <a:off x="0" y="0"/>
                          <a:ext cx="4389120" cy="2743200"/>
                        </a:xfrm>
                        <a:prstGeom prst="rect"/>
                        <a:solidFill>
                          <a:srgbClr val="FFFFFF">
                            <a:alpha val="0"/>
                          </a:srgbClr>
                        </a:solidFill>
                      </wps:spPr>
                      <wps:txbx>
                        <w:txbxContent>
                          <w:tbl>
                            <w:tblPr>
                              <w:tblW w:w="6420" w:type="dxa"/>
                              <w:jc w:val="start"/>
                              <w:tblInd w:w="0" w:type="dxa"/>
                              <w:tblLayout w:type="fixed"/>
                              <w:tblCellMar>
                                <w:top w:w="0" w:type="dxa"/>
                                <w:start w:w="30" w:type="dxa"/>
                                <w:bottom w:w="0" w:type="dxa"/>
                                <w:end w:w="30" w:type="dxa"/>
                              </w:tblCellMar>
                            </w:tblPr>
                            <w:tblGrid>
                              <w:gridCol w:w="3630"/>
                              <w:gridCol w:w="810"/>
                              <w:gridCol w:w="1980"/>
                            </w:tblGrid>
                            <w:tr>
                              <w:trPr>
                                <w:trHeight w:val="247" w:hRule="atLeast"/>
                              </w:trPr>
                              <w:tc>
                                <w:tcPr>
                                  <w:tcW w:w="3630" w:type="dxa"/>
                                  <w:tcBorders>
                                    <w:bottom w:val="single" w:sz="4" w:space="0" w:color="000000"/>
                                  </w:tcBorders>
                                </w:tcPr>
                                <w:p>
                                  <w:pPr>
                                    <w:pStyle w:val="Normal"/>
                                    <w:snapToGrid w:val="false"/>
                                    <w:rPr>
                                      <w:rFonts w:ascii="Arial" w:hAnsi="Arial" w:cs="Arial"/>
                                      <w:b/>
                                      <w:color w:val="000000"/>
                                      <w:lang w:eastAsia="en-US"/>
                                    </w:rPr>
                                  </w:pPr>
                                  <w:r>
                                    <w:rPr>
                                      <w:rFonts w:cs="Arial" w:ascii="Arial" w:hAnsi="Arial"/>
                                      <w:b/>
                                      <w:color w:val="000000"/>
                                      <w:lang w:eastAsia="en-US"/>
                                    </w:rPr>
                                  </w:r>
                                </w:p>
                                <w:p>
                                  <w:pPr>
                                    <w:pStyle w:val="Normal"/>
                                    <w:rPr>
                                      <w:rFonts w:ascii="Arial" w:hAnsi="Arial" w:cs="Arial"/>
                                      <w:b/>
                                      <w:color w:val="000000"/>
                                      <w:lang w:eastAsia="en-US"/>
                                    </w:rPr>
                                  </w:pPr>
                                  <w:r>
                                    <w:rPr>
                                      <w:rFonts w:cs="Arial" w:ascii="Arial" w:hAnsi="Arial"/>
                                      <w:b/>
                                      <w:color w:val="000000"/>
                                      <w:lang w:eastAsia="en-US"/>
                                    </w:rPr>
                                    <w:t>Counterparty Type</w:t>
                                  </w:r>
                                </w:p>
                              </w:tc>
                              <w:tc>
                                <w:tcPr>
                                  <w:tcW w:w="810" w:type="dxa"/>
                                  <w:tcBorders>
                                    <w:bottom w:val="single" w:sz="4" w:space="0" w:color="000000"/>
                                  </w:tcBorders>
                                </w:tcPr>
                                <w:p>
                                  <w:pPr>
                                    <w:pStyle w:val="Normal"/>
                                    <w:jc w:val="center"/>
                                    <w:rPr>
                                      <w:rFonts w:ascii="Arial" w:hAnsi="Arial" w:cs="Arial"/>
                                      <w:b/>
                                      <w:color w:val="000000"/>
                                      <w:lang w:eastAsia="en-US"/>
                                    </w:rPr>
                                  </w:pPr>
                                  <w:r>
                                    <w:rPr>
                                      <w:rFonts w:cs="Arial" w:ascii="Arial" w:hAnsi="Arial"/>
                                      <w:b/>
                                      <w:color w:val="000000"/>
                                      <w:lang w:eastAsia="en-US"/>
                                    </w:rPr>
                                    <w:t>Total Share</w:t>
                                  </w:r>
                                </w:p>
                              </w:tc>
                              <w:tc>
                                <w:tcPr>
                                  <w:tcW w:w="1980" w:type="dxa"/>
                                  <w:tcBorders>
                                    <w:bottom w:val="single" w:sz="4" w:space="0" w:color="000000"/>
                                  </w:tcBorders>
                                </w:tcPr>
                                <w:p>
                                  <w:pPr>
                                    <w:pStyle w:val="Normal"/>
                                    <w:jc w:val="center"/>
                                    <w:rPr>
                                      <w:rFonts w:ascii="Arial" w:hAnsi="Arial" w:cs="Arial"/>
                                      <w:b/>
                                      <w:color w:val="000000"/>
                                      <w:lang w:eastAsia="en-US"/>
                                    </w:rPr>
                                  </w:pPr>
                                  <w:r>
                                    <w:rPr>
                                      <w:rFonts w:cs="Arial" w:ascii="Arial" w:hAnsi="Arial"/>
                                      <w:b/>
                                      <w:color w:val="000000"/>
                                      <w:lang w:eastAsia="en-US"/>
                                    </w:rPr>
                                    <w:t>Non-Marketer Share</w:t>
                                  </w:r>
                                </w:p>
                              </w:tc>
                            </w:tr>
                            <w:tr>
                              <w:trPr>
                                <w:trHeight w:val="247" w:hRule="atLeast"/>
                              </w:trPr>
                              <w:tc>
                                <w:tcPr>
                                  <w:tcW w:w="3630" w:type="dxa"/>
                                  <w:tcBorders/>
                                </w:tcPr>
                                <w:p>
                                  <w:pPr>
                                    <w:pStyle w:val="Normal"/>
                                    <w:spacing w:before="0" w:after="120"/>
                                    <w:rPr>
                                      <w:rFonts w:ascii="Arial" w:hAnsi="Arial" w:cs="Arial"/>
                                      <w:color w:val="000000"/>
                                      <w:lang w:eastAsia="en-US"/>
                                    </w:rPr>
                                  </w:pPr>
                                  <w:r>
                                    <w:rPr>
                                      <w:rFonts w:cs="Arial" w:ascii="Arial" w:hAnsi="Arial"/>
                                      <w:color w:val="000000"/>
                                      <w:lang w:eastAsia="en-US"/>
                                    </w:rPr>
                                    <w:t>Marketers</w:t>
                                  </w:r>
                                </w:p>
                              </w:tc>
                              <w:tc>
                                <w:tcPr>
                                  <w:tcW w:w="810" w:type="dxa"/>
                                  <w:tcBorders/>
                                </w:tcPr>
                                <w:p>
                                  <w:pPr>
                                    <w:pStyle w:val="Normal"/>
                                    <w:jc w:val="center"/>
                                    <w:rPr>
                                      <w:rFonts w:ascii="Arial" w:hAnsi="Arial" w:cs="Arial"/>
                                      <w:color w:val="000000"/>
                                      <w:lang w:eastAsia="en-US"/>
                                    </w:rPr>
                                  </w:pPr>
                                  <w:r>
                                    <w:rPr>
                                      <w:rFonts w:cs="Arial" w:ascii="Arial" w:hAnsi="Arial"/>
                                      <w:color w:val="000000"/>
                                      <w:lang w:eastAsia="en-US"/>
                                    </w:rPr>
                                    <w:t>67.9</w:t>
                                  </w:r>
                                </w:p>
                              </w:tc>
                              <w:tc>
                                <w:tcPr>
                                  <w:tcW w:w="1980" w:type="dxa"/>
                                  <w:tcBorders/>
                                </w:tcPr>
                                <w:p>
                                  <w:pPr>
                                    <w:pStyle w:val="Normal"/>
                                    <w:jc w:val="center"/>
                                    <w:rPr>
                                      <w:rFonts w:ascii="Arial" w:hAnsi="Arial" w:cs="Arial"/>
                                      <w:color w:val="000000"/>
                                      <w:lang w:eastAsia="en-US"/>
                                    </w:rPr>
                                  </w:pPr>
                                  <w:r>
                                    <w:rPr>
                                      <w:rFonts w:cs="Arial" w:ascii="Arial" w:hAnsi="Arial"/>
                                      <w:color w:val="000000"/>
                                      <w:lang w:eastAsia="en-US"/>
                                    </w:rPr>
                                    <w:t>33.2</w:t>
                                  </w:r>
                                </w:p>
                              </w:tc>
                            </w:tr>
                            <w:tr>
                              <w:trPr>
                                <w:trHeight w:val="247" w:hRule="atLeast"/>
                              </w:trPr>
                              <w:tc>
                                <w:tcPr>
                                  <w:tcW w:w="3630" w:type="dxa"/>
                                  <w:tcBorders/>
                                </w:tcPr>
                                <w:p>
                                  <w:pPr>
                                    <w:pStyle w:val="Normal"/>
                                    <w:spacing w:before="0" w:after="120"/>
                                    <w:rPr>
                                      <w:rFonts w:ascii="Arial" w:hAnsi="Arial" w:cs="Arial"/>
                                      <w:color w:val="000000"/>
                                      <w:lang w:eastAsia="en-US"/>
                                    </w:rPr>
                                  </w:pPr>
                                  <w:r>
                                    <w:rPr>
                                      <w:rFonts w:cs="Arial" w:ascii="Arial" w:hAnsi="Arial"/>
                                      <w:color w:val="000000"/>
                                      <w:lang w:eastAsia="en-US"/>
                                    </w:rPr>
                                    <w:t>Investor-Owned Utilities</w:t>
                                  </w:r>
                                </w:p>
                              </w:tc>
                              <w:tc>
                                <w:tcPr>
                                  <w:tcW w:w="810" w:type="dxa"/>
                                  <w:tcBorders/>
                                </w:tcPr>
                                <w:p>
                                  <w:pPr>
                                    <w:pStyle w:val="Normal"/>
                                    <w:jc w:val="center"/>
                                    <w:rPr>
                                      <w:rFonts w:ascii="Arial" w:hAnsi="Arial" w:cs="Arial"/>
                                      <w:color w:val="000000"/>
                                      <w:lang w:eastAsia="en-US"/>
                                    </w:rPr>
                                  </w:pPr>
                                  <w:r>
                                    <w:rPr>
                                      <w:rFonts w:cs="Arial" w:ascii="Arial" w:hAnsi="Arial"/>
                                      <w:color w:val="000000"/>
                                      <w:lang w:eastAsia="en-US"/>
                                    </w:rPr>
                                    <w:t>24.8</w:t>
                                  </w:r>
                                </w:p>
                              </w:tc>
                              <w:tc>
                                <w:tcPr>
                                  <w:tcW w:w="1980" w:type="dxa"/>
                                  <w:tcBorders/>
                                </w:tcPr>
                                <w:p>
                                  <w:pPr>
                                    <w:pStyle w:val="Normal"/>
                                    <w:jc w:val="center"/>
                                    <w:rPr>
                                      <w:rFonts w:ascii="Arial" w:hAnsi="Arial" w:cs="Arial"/>
                                      <w:color w:val="000000"/>
                                      <w:lang w:eastAsia="en-US"/>
                                    </w:rPr>
                                  </w:pPr>
                                  <w:r>
                                    <w:rPr>
                                      <w:rFonts w:cs="Arial" w:ascii="Arial" w:hAnsi="Arial"/>
                                      <w:color w:val="000000"/>
                                      <w:lang w:eastAsia="en-US"/>
                                    </w:rPr>
                                    <w:t>77.3</w:t>
                                  </w:r>
                                </w:p>
                              </w:tc>
                            </w:tr>
                            <w:tr>
                              <w:trPr>
                                <w:trHeight w:val="247" w:hRule="atLeast"/>
                              </w:trPr>
                              <w:tc>
                                <w:tcPr>
                                  <w:tcW w:w="3630" w:type="dxa"/>
                                  <w:tcBorders/>
                                </w:tcPr>
                                <w:p>
                                  <w:pPr>
                                    <w:pStyle w:val="Normal"/>
                                    <w:spacing w:before="0" w:after="120"/>
                                    <w:rPr>
                                      <w:rFonts w:ascii="Arial" w:hAnsi="Arial" w:cs="Arial"/>
                                      <w:color w:val="000000"/>
                                      <w:lang w:eastAsia="en-US"/>
                                    </w:rPr>
                                  </w:pPr>
                                  <w:r>
                                    <w:rPr>
                                      <w:rFonts w:cs="Arial" w:ascii="Arial" w:hAnsi="Arial"/>
                                      <w:color w:val="000000"/>
                                      <w:lang w:eastAsia="en-US"/>
                                    </w:rPr>
                                    <w:t>Cooperatives</w:t>
                                  </w:r>
                                </w:p>
                              </w:tc>
                              <w:tc>
                                <w:tcPr>
                                  <w:tcW w:w="810" w:type="dxa"/>
                                  <w:tcBorders/>
                                </w:tcPr>
                                <w:p>
                                  <w:pPr>
                                    <w:pStyle w:val="Normal"/>
                                    <w:jc w:val="center"/>
                                    <w:rPr>
                                      <w:rFonts w:ascii="Arial" w:hAnsi="Arial" w:cs="Arial"/>
                                      <w:color w:val="000000"/>
                                      <w:lang w:eastAsia="en-US"/>
                                    </w:rPr>
                                  </w:pPr>
                                  <w:r>
                                    <w:rPr>
                                      <w:rFonts w:cs="Arial" w:ascii="Arial" w:hAnsi="Arial"/>
                                      <w:color w:val="000000"/>
                                      <w:lang w:eastAsia="en-US"/>
                                    </w:rPr>
                                    <w:t>2</w:t>
                                  </w:r>
                                </w:p>
                              </w:tc>
                              <w:tc>
                                <w:tcPr>
                                  <w:tcW w:w="1980" w:type="dxa"/>
                                  <w:tcBorders/>
                                </w:tcPr>
                                <w:p>
                                  <w:pPr>
                                    <w:pStyle w:val="Normal"/>
                                    <w:jc w:val="center"/>
                                    <w:rPr>
                                      <w:rFonts w:ascii="Arial" w:hAnsi="Arial" w:cs="Arial"/>
                                      <w:color w:val="000000"/>
                                      <w:lang w:eastAsia="en-US"/>
                                    </w:rPr>
                                  </w:pPr>
                                  <w:r>
                                    <w:rPr>
                                      <w:rFonts w:cs="Arial" w:ascii="Arial" w:hAnsi="Arial"/>
                                      <w:color w:val="000000"/>
                                      <w:lang w:eastAsia="en-US"/>
                                    </w:rPr>
                                    <w:t>6.2</w:t>
                                  </w:r>
                                </w:p>
                              </w:tc>
                            </w:tr>
                            <w:tr>
                              <w:trPr>
                                <w:trHeight w:val="247" w:hRule="atLeast"/>
                              </w:trPr>
                              <w:tc>
                                <w:tcPr>
                                  <w:tcW w:w="3630" w:type="dxa"/>
                                  <w:tcBorders/>
                                </w:tcPr>
                                <w:p>
                                  <w:pPr>
                                    <w:pStyle w:val="Normal"/>
                                    <w:spacing w:before="0" w:after="120"/>
                                    <w:rPr>
                                      <w:rFonts w:ascii="Arial" w:hAnsi="Arial" w:cs="Arial"/>
                                      <w:color w:val="000000"/>
                                      <w:lang w:eastAsia="en-US"/>
                                    </w:rPr>
                                  </w:pPr>
                                  <w:r>
                                    <w:rPr>
                                      <w:rFonts w:cs="Arial" w:ascii="Arial" w:hAnsi="Arial"/>
                                      <w:color w:val="000000"/>
                                      <w:lang w:eastAsia="en-US"/>
                                    </w:rPr>
                                    <w:t>Municipals/Public Power</w:t>
                                  </w:r>
                                </w:p>
                              </w:tc>
                              <w:tc>
                                <w:tcPr>
                                  <w:tcW w:w="810" w:type="dxa"/>
                                  <w:tcBorders/>
                                </w:tcPr>
                                <w:p>
                                  <w:pPr>
                                    <w:pStyle w:val="Normal"/>
                                    <w:jc w:val="center"/>
                                    <w:rPr>
                                      <w:rFonts w:ascii="Arial" w:hAnsi="Arial" w:cs="Arial"/>
                                      <w:color w:val="000000"/>
                                      <w:lang w:eastAsia="en-US"/>
                                    </w:rPr>
                                  </w:pPr>
                                  <w:r>
                                    <w:rPr>
                                      <w:rFonts w:cs="Arial" w:ascii="Arial" w:hAnsi="Arial"/>
                                      <w:color w:val="000000"/>
                                      <w:lang w:eastAsia="en-US"/>
                                    </w:rPr>
                                    <w:t>1.5</w:t>
                                  </w:r>
                                </w:p>
                              </w:tc>
                              <w:tc>
                                <w:tcPr>
                                  <w:tcW w:w="1980" w:type="dxa"/>
                                  <w:tcBorders/>
                                </w:tcPr>
                                <w:p>
                                  <w:pPr>
                                    <w:pStyle w:val="Normal"/>
                                    <w:jc w:val="center"/>
                                    <w:rPr>
                                      <w:rFonts w:ascii="Arial" w:hAnsi="Arial" w:cs="Arial"/>
                                      <w:color w:val="000000"/>
                                      <w:lang w:eastAsia="en-US"/>
                                    </w:rPr>
                                  </w:pPr>
                                  <w:r>
                                    <w:rPr>
                                      <w:rFonts w:cs="Arial" w:ascii="Arial" w:hAnsi="Arial"/>
                                      <w:color w:val="000000"/>
                                      <w:lang w:eastAsia="en-US"/>
                                    </w:rPr>
                                    <w:t>4.8</w:t>
                                  </w:r>
                                </w:p>
                              </w:tc>
                            </w:tr>
                            <w:tr>
                              <w:trPr>
                                <w:trHeight w:val="247" w:hRule="atLeast"/>
                              </w:trPr>
                              <w:tc>
                                <w:tcPr>
                                  <w:tcW w:w="3630" w:type="dxa"/>
                                  <w:tcBorders/>
                                </w:tcPr>
                                <w:p>
                                  <w:pPr>
                                    <w:pStyle w:val="Normal"/>
                                    <w:spacing w:before="0" w:after="120"/>
                                    <w:rPr>
                                      <w:rFonts w:ascii="Arial" w:hAnsi="Arial" w:cs="Arial"/>
                                      <w:color w:val="000000"/>
                                      <w:lang w:eastAsia="en-US"/>
                                    </w:rPr>
                                  </w:pPr>
                                  <w:r>
                                    <w:rPr>
                                      <w:rFonts w:cs="Arial" w:ascii="Arial" w:hAnsi="Arial"/>
                                      <w:color w:val="000000"/>
                                      <w:lang w:eastAsia="en-US"/>
                                    </w:rPr>
                                    <w:t>Power Pools, ISOs, PXs</w:t>
                                  </w:r>
                                </w:p>
                              </w:tc>
                              <w:tc>
                                <w:tcPr>
                                  <w:tcW w:w="810" w:type="dxa"/>
                                  <w:tcBorders/>
                                </w:tcPr>
                                <w:p>
                                  <w:pPr>
                                    <w:pStyle w:val="Normal"/>
                                    <w:jc w:val="center"/>
                                    <w:rPr>
                                      <w:rFonts w:ascii="Arial" w:hAnsi="Arial" w:cs="Arial"/>
                                      <w:color w:val="000000"/>
                                      <w:lang w:eastAsia="en-US"/>
                                    </w:rPr>
                                  </w:pPr>
                                  <w:r>
                                    <w:rPr>
                                      <w:rFonts w:cs="Arial" w:ascii="Arial" w:hAnsi="Arial"/>
                                      <w:color w:val="000000"/>
                                      <w:lang w:eastAsia="en-US"/>
                                    </w:rPr>
                                    <w:t>1.5</w:t>
                                  </w:r>
                                </w:p>
                              </w:tc>
                              <w:tc>
                                <w:tcPr>
                                  <w:tcW w:w="1980" w:type="dxa"/>
                                  <w:tcBorders/>
                                </w:tcPr>
                                <w:p>
                                  <w:pPr>
                                    <w:pStyle w:val="Normal"/>
                                    <w:jc w:val="center"/>
                                    <w:rPr>
                                      <w:rFonts w:ascii="Arial" w:hAnsi="Arial" w:cs="Arial"/>
                                      <w:color w:val="000000"/>
                                      <w:lang w:eastAsia="en-US"/>
                                    </w:rPr>
                                  </w:pPr>
                                  <w:r>
                                    <w:rPr>
                                      <w:rFonts w:cs="Arial" w:ascii="Arial" w:hAnsi="Arial"/>
                                      <w:color w:val="000000"/>
                                      <w:lang w:eastAsia="en-US"/>
                                    </w:rPr>
                                    <w:t>4.6</w:t>
                                  </w:r>
                                </w:p>
                              </w:tc>
                            </w:tr>
                            <w:tr>
                              <w:trPr>
                                <w:trHeight w:val="247" w:hRule="atLeast"/>
                              </w:trPr>
                              <w:tc>
                                <w:tcPr>
                                  <w:tcW w:w="3630" w:type="dxa"/>
                                  <w:tcBorders/>
                                </w:tcPr>
                                <w:p>
                                  <w:pPr>
                                    <w:pStyle w:val="Normal"/>
                                    <w:spacing w:before="0" w:after="120"/>
                                    <w:rPr>
                                      <w:rFonts w:ascii="Arial" w:hAnsi="Arial" w:cs="Arial"/>
                                      <w:color w:val="000000"/>
                                      <w:lang w:eastAsia="en-US"/>
                                    </w:rPr>
                                  </w:pPr>
                                  <w:r>
                                    <w:rPr>
                                      <w:rFonts w:cs="Arial" w:ascii="Arial" w:hAnsi="Arial"/>
                                      <w:color w:val="000000"/>
                                      <w:lang w:eastAsia="en-US"/>
                                    </w:rPr>
                                    <w:t>Industrials</w:t>
                                  </w:r>
                                </w:p>
                              </w:tc>
                              <w:tc>
                                <w:tcPr>
                                  <w:tcW w:w="810" w:type="dxa"/>
                                  <w:tcBorders/>
                                </w:tcPr>
                                <w:p>
                                  <w:pPr>
                                    <w:pStyle w:val="Normal"/>
                                    <w:jc w:val="center"/>
                                    <w:rPr>
                                      <w:rFonts w:ascii="Arial" w:hAnsi="Arial" w:cs="Arial"/>
                                      <w:color w:val="000000"/>
                                      <w:lang w:eastAsia="en-US"/>
                                    </w:rPr>
                                  </w:pPr>
                                  <w:r>
                                    <w:rPr>
                                      <w:rFonts w:cs="Arial" w:ascii="Arial" w:hAnsi="Arial"/>
                                      <w:color w:val="000000"/>
                                      <w:lang w:eastAsia="en-US"/>
                                    </w:rPr>
                                    <w:t>1.4</w:t>
                                  </w:r>
                                </w:p>
                              </w:tc>
                              <w:tc>
                                <w:tcPr>
                                  <w:tcW w:w="1980" w:type="dxa"/>
                                  <w:tcBorders/>
                                </w:tcPr>
                                <w:p>
                                  <w:pPr>
                                    <w:pStyle w:val="Normal"/>
                                    <w:jc w:val="center"/>
                                    <w:rPr>
                                      <w:rFonts w:ascii="Arial" w:hAnsi="Arial" w:cs="Arial"/>
                                      <w:color w:val="000000"/>
                                      <w:lang w:eastAsia="en-US"/>
                                    </w:rPr>
                                  </w:pPr>
                                  <w:r>
                                    <w:rPr>
                                      <w:rFonts w:cs="Arial" w:ascii="Arial" w:hAnsi="Arial"/>
                                      <w:color w:val="000000"/>
                                      <w:lang w:eastAsia="en-US"/>
                                    </w:rPr>
                                    <w:t>4.3</w:t>
                                  </w:r>
                                </w:p>
                              </w:tc>
                            </w:tr>
                            <w:tr>
                              <w:trPr>
                                <w:trHeight w:val="247" w:hRule="atLeast"/>
                              </w:trPr>
                              <w:tc>
                                <w:tcPr>
                                  <w:tcW w:w="3630" w:type="dxa"/>
                                  <w:tcBorders/>
                                </w:tcPr>
                                <w:p>
                                  <w:pPr>
                                    <w:pStyle w:val="Normal"/>
                                    <w:spacing w:before="0" w:after="120"/>
                                    <w:rPr>
                                      <w:rFonts w:ascii="Arial" w:hAnsi="Arial" w:cs="Arial"/>
                                      <w:color w:val="000000"/>
                                      <w:lang w:eastAsia="en-US"/>
                                    </w:rPr>
                                  </w:pPr>
                                  <w:r>
                                    <w:rPr>
                                      <w:rFonts w:cs="Arial" w:ascii="Arial" w:hAnsi="Arial"/>
                                      <w:color w:val="000000"/>
                                      <w:lang w:eastAsia="en-US"/>
                                    </w:rPr>
                                    <w:t>Federal (PMAs)</w:t>
                                  </w:r>
                                </w:p>
                              </w:tc>
                              <w:tc>
                                <w:tcPr>
                                  <w:tcW w:w="810" w:type="dxa"/>
                                  <w:tcBorders/>
                                </w:tcPr>
                                <w:p>
                                  <w:pPr>
                                    <w:pStyle w:val="Normal"/>
                                    <w:jc w:val="center"/>
                                    <w:rPr>
                                      <w:rFonts w:ascii="Arial" w:hAnsi="Arial" w:cs="Arial"/>
                                      <w:color w:val="000000"/>
                                      <w:lang w:eastAsia="en-US"/>
                                    </w:rPr>
                                  </w:pPr>
                                  <w:r>
                                    <w:rPr>
                                      <w:rFonts w:cs="Arial" w:ascii="Arial" w:hAnsi="Arial"/>
                                      <w:color w:val="000000"/>
                                      <w:lang w:eastAsia="en-US"/>
                                    </w:rPr>
                                    <w:t>0.4</w:t>
                                  </w:r>
                                </w:p>
                              </w:tc>
                              <w:tc>
                                <w:tcPr>
                                  <w:tcW w:w="1980" w:type="dxa"/>
                                  <w:tcBorders/>
                                </w:tcPr>
                                <w:p>
                                  <w:pPr>
                                    <w:pStyle w:val="Normal"/>
                                    <w:jc w:val="center"/>
                                    <w:rPr>
                                      <w:rFonts w:ascii="Arial" w:hAnsi="Arial" w:cs="Arial"/>
                                      <w:color w:val="000000"/>
                                      <w:lang w:eastAsia="en-US"/>
                                    </w:rPr>
                                  </w:pPr>
                                  <w:r>
                                    <w:rPr>
                                      <w:rFonts w:cs="Arial" w:ascii="Arial" w:hAnsi="Arial"/>
                                      <w:color w:val="000000"/>
                                      <w:lang w:eastAsia="en-US"/>
                                    </w:rPr>
                                    <w:t>1.4</w:t>
                                  </w:r>
                                </w:p>
                              </w:tc>
                            </w:tr>
                            <w:tr>
                              <w:trPr>
                                <w:trHeight w:val="247" w:hRule="atLeast"/>
                              </w:trPr>
                              <w:tc>
                                <w:tcPr>
                                  <w:tcW w:w="3630" w:type="dxa"/>
                                  <w:tcBorders/>
                                </w:tcPr>
                                <w:p>
                                  <w:pPr>
                                    <w:pStyle w:val="Normal"/>
                                    <w:spacing w:before="0" w:after="120"/>
                                    <w:rPr>
                                      <w:rFonts w:ascii="Arial" w:hAnsi="Arial" w:cs="Arial"/>
                                      <w:color w:val="000000"/>
                                      <w:lang w:eastAsia="en-US"/>
                                    </w:rPr>
                                  </w:pPr>
                                  <w:r>
                                    <w:rPr>
                                      <w:rFonts w:cs="Arial" w:ascii="Arial" w:hAnsi="Arial"/>
                                      <w:color w:val="000000"/>
                                      <w:lang w:eastAsia="en-US"/>
                                    </w:rPr>
                                    <w:t>Foreign Utilities</w:t>
                                  </w:r>
                                </w:p>
                              </w:tc>
                              <w:tc>
                                <w:tcPr>
                                  <w:tcW w:w="810" w:type="dxa"/>
                                  <w:tcBorders/>
                                </w:tcPr>
                                <w:p>
                                  <w:pPr>
                                    <w:pStyle w:val="Normal"/>
                                    <w:jc w:val="center"/>
                                    <w:rPr>
                                      <w:rFonts w:ascii="Arial" w:hAnsi="Arial" w:cs="Arial"/>
                                      <w:color w:val="000000"/>
                                      <w:lang w:eastAsia="en-US"/>
                                    </w:rPr>
                                  </w:pPr>
                                  <w:r>
                                    <w:rPr>
                                      <w:rFonts w:cs="Arial" w:ascii="Arial" w:hAnsi="Arial"/>
                                      <w:color w:val="000000"/>
                                      <w:lang w:eastAsia="en-US"/>
                                    </w:rPr>
                                    <w:t>0.3</w:t>
                                  </w:r>
                                </w:p>
                              </w:tc>
                              <w:tc>
                                <w:tcPr>
                                  <w:tcW w:w="1980" w:type="dxa"/>
                                  <w:tcBorders/>
                                </w:tcPr>
                                <w:p>
                                  <w:pPr>
                                    <w:pStyle w:val="Normal"/>
                                    <w:jc w:val="center"/>
                                    <w:rPr>
                                      <w:rFonts w:ascii="Arial" w:hAnsi="Arial" w:cs="Arial"/>
                                      <w:color w:val="000000"/>
                                      <w:lang w:eastAsia="en-US"/>
                                    </w:rPr>
                                  </w:pPr>
                                  <w:r>
                                    <w:rPr>
                                      <w:rFonts w:cs="Arial" w:ascii="Arial" w:hAnsi="Arial"/>
                                      <w:color w:val="000000"/>
                                      <w:lang w:eastAsia="en-US"/>
                                    </w:rPr>
                                    <w:t>0.9</w:t>
                                  </w:r>
                                </w:p>
                              </w:tc>
                            </w:tr>
                            <w:tr>
                              <w:trPr>
                                <w:trHeight w:val="247" w:hRule="atLeast"/>
                              </w:trPr>
                              <w:tc>
                                <w:tcPr>
                                  <w:tcW w:w="3630" w:type="dxa"/>
                                  <w:tcBorders/>
                                </w:tcPr>
                                <w:p>
                                  <w:pPr>
                                    <w:pStyle w:val="Normal"/>
                                    <w:spacing w:before="0" w:after="120"/>
                                    <w:rPr>
                                      <w:rFonts w:ascii="Arial" w:hAnsi="Arial" w:cs="Arial"/>
                                      <w:color w:val="000000"/>
                                      <w:lang w:eastAsia="en-US"/>
                                    </w:rPr>
                                  </w:pPr>
                                  <w:r>
                                    <w:rPr>
                                      <w:rFonts w:cs="Arial" w:ascii="Arial" w:hAnsi="Arial"/>
                                      <w:color w:val="000000"/>
                                      <w:lang w:eastAsia="en-US"/>
                                    </w:rPr>
                                    <w:t>Non-Utility Generators</w:t>
                                  </w:r>
                                </w:p>
                              </w:tc>
                              <w:tc>
                                <w:tcPr>
                                  <w:tcW w:w="810" w:type="dxa"/>
                                  <w:tcBorders/>
                                </w:tcPr>
                                <w:p>
                                  <w:pPr>
                                    <w:pStyle w:val="Normal"/>
                                    <w:jc w:val="center"/>
                                    <w:rPr>
                                      <w:rFonts w:ascii="Arial" w:hAnsi="Arial" w:cs="Arial"/>
                                      <w:color w:val="000000"/>
                                      <w:lang w:eastAsia="en-US"/>
                                    </w:rPr>
                                  </w:pPr>
                                  <w:r>
                                    <w:rPr>
                                      <w:rFonts w:cs="Arial" w:ascii="Arial" w:hAnsi="Arial"/>
                                      <w:color w:val="000000"/>
                                      <w:lang w:eastAsia="en-US"/>
                                    </w:rPr>
                                    <w:t>0.2</w:t>
                                  </w:r>
                                </w:p>
                              </w:tc>
                              <w:tc>
                                <w:tcPr>
                                  <w:tcW w:w="1980" w:type="dxa"/>
                                  <w:tcBorders/>
                                </w:tcPr>
                                <w:p>
                                  <w:pPr>
                                    <w:pStyle w:val="Normal"/>
                                    <w:jc w:val="center"/>
                                    <w:rPr>
                                      <w:rFonts w:ascii="Arial" w:hAnsi="Arial" w:cs="Arial"/>
                                      <w:color w:val="000000"/>
                                      <w:lang w:eastAsia="en-US"/>
                                    </w:rPr>
                                  </w:pPr>
                                  <w:r>
                                    <w:rPr>
                                      <w:rFonts w:cs="Arial" w:ascii="Arial" w:hAnsi="Arial"/>
                                      <w:color w:val="000000"/>
                                      <w:lang w:eastAsia="en-US"/>
                                    </w:rPr>
                                    <w:t>0.5</w:t>
                                  </w:r>
                                </w:p>
                              </w:tc>
                            </w:tr>
                          </w:tbl>
                          <w:p>
                            <w:pPr>
                              <w:pStyle w:val="Normal"/>
                              <w:rPr/>
                            </w:pPr>
                            <w:r>
                              <w:rPr/>
                            </w:r>
                          </w:p>
                        </w:txbxContent>
                      </wps:txbx>
                      <wps:bodyPr anchor="t" lIns="92075" tIns="46355" rIns="92075" bIns="46355">
                        <a:noAutofit/>
                      </wps:bodyPr>
                    </wps:wsp>
                  </a:graphicData>
                </a:graphic>
              </wp:anchor>
            </w:drawing>
          </mc:Choice>
          <mc:Fallback>
            <w:pict>
              <v:rect fillcolor="#FFFFFF" style="position:absolute;rotation:-0;width:345.6pt;height:216pt;mso-wrap-distance-left:9.05pt;mso-wrap-distance-right:9.05pt;mso-wrap-distance-top:0pt;mso-wrap-distance-bottom:0pt;margin-top:28.3pt;mso-position-vertical-relative:text;margin-left:97.2pt;mso-position-horizontal-relative:text">
                <v:fill opacity="0f"/>
                <v:textbox inset="0.100694444444444in,0.0506944444444444in,0.100694444444444in,0.0506944444444444in">
                  <w:txbxContent>
                    <w:tbl>
                      <w:tblPr>
                        <w:tblW w:w="6420" w:type="dxa"/>
                        <w:jc w:val="start"/>
                        <w:tblInd w:w="0" w:type="dxa"/>
                        <w:tblLayout w:type="fixed"/>
                        <w:tblCellMar>
                          <w:top w:w="0" w:type="dxa"/>
                          <w:start w:w="30" w:type="dxa"/>
                          <w:bottom w:w="0" w:type="dxa"/>
                          <w:end w:w="30" w:type="dxa"/>
                        </w:tblCellMar>
                      </w:tblPr>
                      <w:tblGrid>
                        <w:gridCol w:w="3630"/>
                        <w:gridCol w:w="810"/>
                        <w:gridCol w:w="1980"/>
                      </w:tblGrid>
                      <w:tr>
                        <w:trPr>
                          <w:trHeight w:val="247" w:hRule="atLeast"/>
                        </w:trPr>
                        <w:tc>
                          <w:tcPr>
                            <w:tcW w:w="3630" w:type="dxa"/>
                            <w:tcBorders>
                              <w:bottom w:val="single" w:sz="4" w:space="0" w:color="000000"/>
                            </w:tcBorders>
                          </w:tcPr>
                          <w:p>
                            <w:pPr>
                              <w:pStyle w:val="Normal"/>
                              <w:snapToGrid w:val="false"/>
                              <w:rPr>
                                <w:rFonts w:ascii="Arial" w:hAnsi="Arial" w:cs="Arial"/>
                                <w:b/>
                                <w:color w:val="000000"/>
                                <w:lang w:eastAsia="en-US"/>
                              </w:rPr>
                            </w:pPr>
                            <w:r>
                              <w:rPr>
                                <w:rFonts w:cs="Arial" w:ascii="Arial" w:hAnsi="Arial"/>
                                <w:b/>
                                <w:color w:val="000000"/>
                                <w:lang w:eastAsia="en-US"/>
                              </w:rPr>
                            </w:r>
                          </w:p>
                          <w:p>
                            <w:pPr>
                              <w:pStyle w:val="Normal"/>
                              <w:rPr>
                                <w:rFonts w:ascii="Arial" w:hAnsi="Arial" w:cs="Arial"/>
                                <w:b/>
                                <w:color w:val="000000"/>
                                <w:lang w:eastAsia="en-US"/>
                              </w:rPr>
                            </w:pPr>
                            <w:r>
                              <w:rPr>
                                <w:rFonts w:cs="Arial" w:ascii="Arial" w:hAnsi="Arial"/>
                                <w:b/>
                                <w:color w:val="000000"/>
                                <w:lang w:eastAsia="en-US"/>
                              </w:rPr>
                              <w:t>Counterparty Type</w:t>
                            </w:r>
                          </w:p>
                        </w:tc>
                        <w:tc>
                          <w:tcPr>
                            <w:tcW w:w="810" w:type="dxa"/>
                            <w:tcBorders>
                              <w:bottom w:val="single" w:sz="4" w:space="0" w:color="000000"/>
                            </w:tcBorders>
                          </w:tcPr>
                          <w:p>
                            <w:pPr>
                              <w:pStyle w:val="Normal"/>
                              <w:jc w:val="center"/>
                              <w:rPr>
                                <w:rFonts w:ascii="Arial" w:hAnsi="Arial" w:cs="Arial"/>
                                <w:b/>
                                <w:color w:val="000000"/>
                                <w:lang w:eastAsia="en-US"/>
                              </w:rPr>
                            </w:pPr>
                            <w:r>
                              <w:rPr>
                                <w:rFonts w:cs="Arial" w:ascii="Arial" w:hAnsi="Arial"/>
                                <w:b/>
                                <w:color w:val="000000"/>
                                <w:lang w:eastAsia="en-US"/>
                              </w:rPr>
                              <w:t>Total Share</w:t>
                            </w:r>
                          </w:p>
                        </w:tc>
                        <w:tc>
                          <w:tcPr>
                            <w:tcW w:w="1980" w:type="dxa"/>
                            <w:tcBorders>
                              <w:bottom w:val="single" w:sz="4" w:space="0" w:color="000000"/>
                            </w:tcBorders>
                          </w:tcPr>
                          <w:p>
                            <w:pPr>
                              <w:pStyle w:val="Normal"/>
                              <w:jc w:val="center"/>
                              <w:rPr>
                                <w:rFonts w:ascii="Arial" w:hAnsi="Arial" w:cs="Arial"/>
                                <w:b/>
                                <w:color w:val="000000"/>
                                <w:lang w:eastAsia="en-US"/>
                              </w:rPr>
                            </w:pPr>
                            <w:r>
                              <w:rPr>
                                <w:rFonts w:cs="Arial" w:ascii="Arial" w:hAnsi="Arial"/>
                                <w:b/>
                                <w:color w:val="000000"/>
                                <w:lang w:eastAsia="en-US"/>
                              </w:rPr>
                              <w:t>Non-Marketer Share</w:t>
                            </w:r>
                          </w:p>
                        </w:tc>
                      </w:tr>
                      <w:tr>
                        <w:trPr>
                          <w:trHeight w:val="247" w:hRule="atLeast"/>
                        </w:trPr>
                        <w:tc>
                          <w:tcPr>
                            <w:tcW w:w="3630" w:type="dxa"/>
                            <w:tcBorders/>
                          </w:tcPr>
                          <w:p>
                            <w:pPr>
                              <w:pStyle w:val="Normal"/>
                              <w:spacing w:before="0" w:after="120"/>
                              <w:rPr>
                                <w:rFonts w:ascii="Arial" w:hAnsi="Arial" w:cs="Arial"/>
                                <w:color w:val="000000"/>
                                <w:lang w:eastAsia="en-US"/>
                              </w:rPr>
                            </w:pPr>
                            <w:r>
                              <w:rPr>
                                <w:rFonts w:cs="Arial" w:ascii="Arial" w:hAnsi="Arial"/>
                                <w:color w:val="000000"/>
                                <w:lang w:eastAsia="en-US"/>
                              </w:rPr>
                              <w:t>Marketers</w:t>
                            </w:r>
                          </w:p>
                        </w:tc>
                        <w:tc>
                          <w:tcPr>
                            <w:tcW w:w="810" w:type="dxa"/>
                            <w:tcBorders/>
                          </w:tcPr>
                          <w:p>
                            <w:pPr>
                              <w:pStyle w:val="Normal"/>
                              <w:jc w:val="center"/>
                              <w:rPr>
                                <w:rFonts w:ascii="Arial" w:hAnsi="Arial" w:cs="Arial"/>
                                <w:color w:val="000000"/>
                                <w:lang w:eastAsia="en-US"/>
                              </w:rPr>
                            </w:pPr>
                            <w:r>
                              <w:rPr>
                                <w:rFonts w:cs="Arial" w:ascii="Arial" w:hAnsi="Arial"/>
                                <w:color w:val="000000"/>
                                <w:lang w:eastAsia="en-US"/>
                              </w:rPr>
                              <w:t>67.9</w:t>
                            </w:r>
                          </w:p>
                        </w:tc>
                        <w:tc>
                          <w:tcPr>
                            <w:tcW w:w="1980" w:type="dxa"/>
                            <w:tcBorders/>
                          </w:tcPr>
                          <w:p>
                            <w:pPr>
                              <w:pStyle w:val="Normal"/>
                              <w:jc w:val="center"/>
                              <w:rPr>
                                <w:rFonts w:ascii="Arial" w:hAnsi="Arial" w:cs="Arial"/>
                                <w:color w:val="000000"/>
                                <w:lang w:eastAsia="en-US"/>
                              </w:rPr>
                            </w:pPr>
                            <w:r>
                              <w:rPr>
                                <w:rFonts w:cs="Arial" w:ascii="Arial" w:hAnsi="Arial"/>
                                <w:color w:val="000000"/>
                                <w:lang w:eastAsia="en-US"/>
                              </w:rPr>
                              <w:t>33.2</w:t>
                            </w:r>
                          </w:p>
                        </w:tc>
                      </w:tr>
                      <w:tr>
                        <w:trPr>
                          <w:trHeight w:val="247" w:hRule="atLeast"/>
                        </w:trPr>
                        <w:tc>
                          <w:tcPr>
                            <w:tcW w:w="3630" w:type="dxa"/>
                            <w:tcBorders/>
                          </w:tcPr>
                          <w:p>
                            <w:pPr>
                              <w:pStyle w:val="Normal"/>
                              <w:spacing w:before="0" w:after="120"/>
                              <w:rPr>
                                <w:rFonts w:ascii="Arial" w:hAnsi="Arial" w:cs="Arial"/>
                                <w:color w:val="000000"/>
                                <w:lang w:eastAsia="en-US"/>
                              </w:rPr>
                            </w:pPr>
                            <w:r>
                              <w:rPr>
                                <w:rFonts w:cs="Arial" w:ascii="Arial" w:hAnsi="Arial"/>
                                <w:color w:val="000000"/>
                                <w:lang w:eastAsia="en-US"/>
                              </w:rPr>
                              <w:t>Investor-Owned Utilities</w:t>
                            </w:r>
                          </w:p>
                        </w:tc>
                        <w:tc>
                          <w:tcPr>
                            <w:tcW w:w="810" w:type="dxa"/>
                            <w:tcBorders/>
                          </w:tcPr>
                          <w:p>
                            <w:pPr>
                              <w:pStyle w:val="Normal"/>
                              <w:jc w:val="center"/>
                              <w:rPr>
                                <w:rFonts w:ascii="Arial" w:hAnsi="Arial" w:cs="Arial"/>
                                <w:color w:val="000000"/>
                                <w:lang w:eastAsia="en-US"/>
                              </w:rPr>
                            </w:pPr>
                            <w:r>
                              <w:rPr>
                                <w:rFonts w:cs="Arial" w:ascii="Arial" w:hAnsi="Arial"/>
                                <w:color w:val="000000"/>
                                <w:lang w:eastAsia="en-US"/>
                              </w:rPr>
                              <w:t>24.8</w:t>
                            </w:r>
                          </w:p>
                        </w:tc>
                        <w:tc>
                          <w:tcPr>
                            <w:tcW w:w="1980" w:type="dxa"/>
                            <w:tcBorders/>
                          </w:tcPr>
                          <w:p>
                            <w:pPr>
                              <w:pStyle w:val="Normal"/>
                              <w:jc w:val="center"/>
                              <w:rPr>
                                <w:rFonts w:ascii="Arial" w:hAnsi="Arial" w:cs="Arial"/>
                                <w:color w:val="000000"/>
                                <w:lang w:eastAsia="en-US"/>
                              </w:rPr>
                            </w:pPr>
                            <w:r>
                              <w:rPr>
                                <w:rFonts w:cs="Arial" w:ascii="Arial" w:hAnsi="Arial"/>
                                <w:color w:val="000000"/>
                                <w:lang w:eastAsia="en-US"/>
                              </w:rPr>
                              <w:t>77.3</w:t>
                            </w:r>
                          </w:p>
                        </w:tc>
                      </w:tr>
                      <w:tr>
                        <w:trPr>
                          <w:trHeight w:val="247" w:hRule="atLeast"/>
                        </w:trPr>
                        <w:tc>
                          <w:tcPr>
                            <w:tcW w:w="3630" w:type="dxa"/>
                            <w:tcBorders/>
                          </w:tcPr>
                          <w:p>
                            <w:pPr>
                              <w:pStyle w:val="Normal"/>
                              <w:spacing w:before="0" w:after="120"/>
                              <w:rPr>
                                <w:rFonts w:ascii="Arial" w:hAnsi="Arial" w:cs="Arial"/>
                                <w:color w:val="000000"/>
                                <w:lang w:eastAsia="en-US"/>
                              </w:rPr>
                            </w:pPr>
                            <w:r>
                              <w:rPr>
                                <w:rFonts w:cs="Arial" w:ascii="Arial" w:hAnsi="Arial"/>
                                <w:color w:val="000000"/>
                                <w:lang w:eastAsia="en-US"/>
                              </w:rPr>
                              <w:t>Cooperatives</w:t>
                            </w:r>
                          </w:p>
                        </w:tc>
                        <w:tc>
                          <w:tcPr>
                            <w:tcW w:w="810" w:type="dxa"/>
                            <w:tcBorders/>
                          </w:tcPr>
                          <w:p>
                            <w:pPr>
                              <w:pStyle w:val="Normal"/>
                              <w:jc w:val="center"/>
                              <w:rPr>
                                <w:rFonts w:ascii="Arial" w:hAnsi="Arial" w:cs="Arial"/>
                                <w:color w:val="000000"/>
                                <w:lang w:eastAsia="en-US"/>
                              </w:rPr>
                            </w:pPr>
                            <w:r>
                              <w:rPr>
                                <w:rFonts w:cs="Arial" w:ascii="Arial" w:hAnsi="Arial"/>
                                <w:color w:val="000000"/>
                                <w:lang w:eastAsia="en-US"/>
                              </w:rPr>
                              <w:t>2</w:t>
                            </w:r>
                          </w:p>
                        </w:tc>
                        <w:tc>
                          <w:tcPr>
                            <w:tcW w:w="1980" w:type="dxa"/>
                            <w:tcBorders/>
                          </w:tcPr>
                          <w:p>
                            <w:pPr>
                              <w:pStyle w:val="Normal"/>
                              <w:jc w:val="center"/>
                              <w:rPr>
                                <w:rFonts w:ascii="Arial" w:hAnsi="Arial" w:cs="Arial"/>
                                <w:color w:val="000000"/>
                                <w:lang w:eastAsia="en-US"/>
                              </w:rPr>
                            </w:pPr>
                            <w:r>
                              <w:rPr>
                                <w:rFonts w:cs="Arial" w:ascii="Arial" w:hAnsi="Arial"/>
                                <w:color w:val="000000"/>
                                <w:lang w:eastAsia="en-US"/>
                              </w:rPr>
                              <w:t>6.2</w:t>
                            </w:r>
                          </w:p>
                        </w:tc>
                      </w:tr>
                      <w:tr>
                        <w:trPr>
                          <w:trHeight w:val="247" w:hRule="atLeast"/>
                        </w:trPr>
                        <w:tc>
                          <w:tcPr>
                            <w:tcW w:w="3630" w:type="dxa"/>
                            <w:tcBorders/>
                          </w:tcPr>
                          <w:p>
                            <w:pPr>
                              <w:pStyle w:val="Normal"/>
                              <w:spacing w:before="0" w:after="120"/>
                              <w:rPr>
                                <w:rFonts w:ascii="Arial" w:hAnsi="Arial" w:cs="Arial"/>
                                <w:color w:val="000000"/>
                                <w:lang w:eastAsia="en-US"/>
                              </w:rPr>
                            </w:pPr>
                            <w:r>
                              <w:rPr>
                                <w:rFonts w:cs="Arial" w:ascii="Arial" w:hAnsi="Arial"/>
                                <w:color w:val="000000"/>
                                <w:lang w:eastAsia="en-US"/>
                              </w:rPr>
                              <w:t>Municipals/Public Power</w:t>
                            </w:r>
                          </w:p>
                        </w:tc>
                        <w:tc>
                          <w:tcPr>
                            <w:tcW w:w="810" w:type="dxa"/>
                            <w:tcBorders/>
                          </w:tcPr>
                          <w:p>
                            <w:pPr>
                              <w:pStyle w:val="Normal"/>
                              <w:jc w:val="center"/>
                              <w:rPr>
                                <w:rFonts w:ascii="Arial" w:hAnsi="Arial" w:cs="Arial"/>
                                <w:color w:val="000000"/>
                                <w:lang w:eastAsia="en-US"/>
                              </w:rPr>
                            </w:pPr>
                            <w:r>
                              <w:rPr>
                                <w:rFonts w:cs="Arial" w:ascii="Arial" w:hAnsi="Arial"/>
                                <w:color w:val="000000"/>
                                <w:lang w:eastAsia="en-US"/>
                              </w:rPr>
                              <w:t>1.5</w:t>
                            </w:r>
                          </w:p>
                        </w:tc>
                        <w:tc>
                          <w:tcPr>
                            <w:tcW w:w="1980" w:type="dxa"/>
                            <w:tcBorders/>
                          </w:tcPr>
                          <w:p>
                            <w:pPr>
                              <w:pStyle w:val="Normal"/>
                              <w:jc w:val="center"/>
                              <w:rPr>
                                <w:rFonts w:ascii="Arial" w:hAnsi="Arial" w:cs="Arial"/>
                                <w:color w:val="000000"/>
                                <w:lang w:eastAsia="en-US"/>
                              </w:rPr>
                            </w:pPr>
                            <w:r>
                              <w:rPr>
                                <w:rFonts w:cs="Arial" w:ascii="Arial" w:hAnsi="Arial"/>
                                <w:color w:val="000000"/>
                                <w:lang w:eastAsia="en-US"/>
                              </w:rPr>
                              <w:t>4.8</w:t>
                            </w:r>
                          </w:p>
                        </w:tc>
                      </w:tr>
                      <w:tr>
                        <w:trPr>
                          <w:trHeight w:val="247" w:hRule="atLeast"/>
                        </w:trPr>
                        <w:tc>
                          <w:tcPr>
                            <w:tcW w:w="3630" w:type="dxa"/>
                            <w:tcBorders/>
                          </w:tcPr>
                          <w:p>
                            <w:pPr>
                              <w:pStyle w:val="Normal"/>
                              <w:spacing w:before="0" w:after="120"/>
                              <w:rPr>
                                <w:rFonts w:ascii="Arial" w:hAnsi="Arial" w:cs="Arial"/>
                                <w:color w:val="000000"/>
                                <w:lang w:eastAsia="en-US"/>
                              </w:rPr>
                            </w:pPr>
                            <w:r>
                              <w:rPr>
                                <w:rFonts w:cs="Arial" w:ascii="Arial" w:hAnsi="Arial"/>
                                <w:color w:val="000000"/>
                                <w:lang w:eastAsia="en-US"/>
                              </w:rPr>
                              <w:t>Power Pools, ISOs, PXs</w:t>
                            </w:r>
                          </w:p>
                        </w:tc>
                        <w:tc>
                          <w:tcPr>
                            <w:tcW w:w="810" w:type="dxa"/>
                            <w:tcBorders/>
                          </w:tcPr>
                          <w:p>
                            <w:pPr>
                              <w:pStyle w:val="Normal"/>
                              <w:jc w:val="center"/>
                              <w:rPr>
                                <w:rFonts w:ascii="Arial" w:hAnsi="Arial" w:cs="Arial"/>
                                <w:color w:val="000000"/>
                                <w:lang w:eastAsia="en-US"/>
                              </w:rPr>
                            </w:pPr>
                            <w:r>
                              <w:rPr>
                                <w:rFonts w:cs="Arial" w:ascii="Arial" w:hAnsi="Arial"/>
                                <w:color w:val="000000"/>
                                <w:lang w:eastAsia="en-US"/>
                              </w:rPr>
                              <w:t>1.5</w:t>
                            </w:r>
                          </w:p>
                        </w:tc>
                        <w:tc>
                          <w:tcPr>
                            <w:tcW w:w="1980" w:type="dxa"/>
                            <w:tcBorders/>
                          </w:tcPr>
                          <w:p>
                            <w:pPr>
                              <w:pStyle w:val="Normal"/>
                              <w:jc w:val="center"/>
                              <w:rPr>
                                <w:rFonts w:ascii="Arial" w:hAnsi="Arial" w:cs="Arial"/>
                                <w:color w:val="000000"/>
                                <w:lang w:eastAsia="en-US"/>
                              </w:rPr>
                            </w:pPr>
                            <w:r>
                              <w:rPr>
                                <w:rFonts w:cs="Arial" w:ascii="Arial" w:hAnsi="Arial"/>
                                <w:color w:val="000000"/>
                                <w:lang w:eastAsia="en-US"/>
                              </w:rPr>
                              <w:t>4.6</w:t>
                            </w:r>
                          </w:p>
                        </w:tc>
                      </w:tr>
                      <w:tr>
                        <w:trPr>
                          <w:trHeight w:val="247" w:hRule="atLeast"/>
                        </w:trPr>
                        <w:tc>
                          <w:tcPr>
                            <w:tcW w:w="3630" w:type="dxa"/>
                            <w:tcBorders/>
                          </w:tcPr>
                          <w:p>
                            <w:pPr>
                              <w:pStyle w:val="Normal"/>
                              <w:spacing w:before="0" w:after="120"/>
                              <w:rPr>
                                <w:rFonts w:ascii="Arial" w:hAnsi="Arial" w:cs="Arial"/>
                                <w:color w:val="000000"/>
                                <w:lang w:eastAsia="en-US"/>
                              </w:rPr>
                            </w:pPr>
                            <w:r>
                              <w:rPr>
                                <w:rFonts w:cs="Arial" w:ascii="Arial" w:hAnsi="Arial"/>
                                <w:color w:val="000000"/>
                                <w:lang w:eastAsia="en-US"/>
                              </w:rPr>
                              <w:t>Industrials</w:t>
                            </w:r>
                          </w:p>
                        </w:tc>
                        <w:tc>
                          <w:tcPr>
                            <w:tcW w:w="810" w:type="dxa"/>
                            <w:tcBorders/>
                          </w:tcPr>
                          <w:p>
                            <w:pPr>
                              <w:pStyle w:val="Normal"/>
                              <w:jc w:val="center"/>
                              <w:rPr>
                                <w:rFonts w:ascii="Arial" w:hAnsi="Arial" w:cs="Arial"/>
                                <w:color w:val="000000"/>
                                <w:lang w:eastAsia="en-US"/>
                              </w:rPr>
                            </w:pPr>
                            <w:r>
                              <w:rPr>
                                <w:rFonts w:cs="Arial" w:ascii="Arial" w:hAnsi="Arial"/>
                                <w:color w:val="000000"/>
                                <w:lang w:eastAsia="en-US"/>
                              </w:rPr>
                              <w:t>1.4</w:t>
                            </w:r>
                          </w:p>
                        </w:tc>
                        <w:tc>
                          <w:tcPr>
                            <w:tcW w:w="1980" w:type="dxa"/>
                            <w:tcBorders/>
                          </w:tcPr>
                          <w:p>
                            <w:pPr>
                              <w:pStyle w:val="Normal"/>
                              <w:jc w:val="center"/>
                              <w:rPr>
                                <w:rFonts w:ascii="Arial" w:hAnsi="Arial" w:cs="Arial"/>
                                <w:color w:val="000000"/>
                                <w:lang w:eastAsia="en-US"/>
                              </w:rPr>
                            </w:pPr>
                            <w:r>
                              <w:rPr>
                                <w:rFonts w:cs="Arial" w:ascii="Arial" w:hAnsi="Arial"/>
                                <w:color w:val="000000"/>
                                <w:lang w:eastAsia="en-US"/>
                              </w:rPr>
                              <w:t>4.3</w:t>
                            </w:r>
                          </w:p>
                        </w:tc>
                      </w:tr>
                      <w:tr>
                        <w:trPr>
                          <w:trHeight w:val="247" w:hRule="atLeast"/>
                        </w:trPr>
                        <w:tc>
                          <w:tcPr>
                            <w:tcW w:w="3630" w:type="dxa"/>
                            <w:tcBorders/>
                          </w:tcPr>
                          <w:p>
                            <w:pPr>
                              <w:pStyle w:val="Normal"/>
                              <w:spacing w:before="0" w:after="120"/>
                              <w:rPr>
                                <w:rFonts w:ascii="Arial" w:hAnsi="Arial" w:cs="Arial"/>
                                <w:color w:val="000000"/>
                                <w:lang w:eastAsia="en-US"/>
                              </w:rPr>
                            </w:pPr>
                            <w:r>
                              <w:rPr>
                                <w:rFonts w:cs="Arial" w:ascii="Arial" w:hAnsi="Arial"/>
                                <w:color w:val="000000"/>
                                <w:lang w:eastAsia="en-US"/>
                              </w:rPr>
                              <w:t>Federal (PMAs)</w:t>
                            </w:r>
                          </w:p>
                        </w:tc>
                        <w:tc>
                          <w:tcPr>
                            <w:tcW w:w="810" w:type="dxa"/>
                            <w:tcBorders/>
                          </w:tcPr>
                          <w:p>
                            <w:pPr>
                              <w:pStyle w:val="Normal"/>
                              <w:jc w:val="center"/>
                              <w:rPr>
                                <w:rFonts w:ascii="Arial" w:hAnsi="Arial" w:cs="Arial"/>
                                <w:color w:val="000000"/>
                                <w:lang w:eastAsia="en-US"/>
                              </w:rPr>
                            </w:pPr>
                            <w:r>
                              <w:rPr>
                                <w:rFonts w:cs="Arial" w:ascii="Arial" w:hAnsi="Arial"/>
                                <w:color w:val="000000"/>
                                <w:lang w:eastAsia="en-US"/>
                              </w:rPr>
                              <w:t>0.4</w:t>
                            </w:r>
                          </w:p>
                        </w:tc>
                        <w:tc>
                          <w:tcPr>
                            <w:tcW w:w="1980" w:type="dxa"/>
                            <w:tcBorders/>
                          </w:tcPr>
                          <w:p>
                            <w:pPr>
                              <w:pStyle w:val="Normal"/>
                              <w:jc w:val="center"/>
                              <w:rPr>
                                <w:rFonts w:ascii="Arial" w:hAnsi="Arial" w:cs="Arial"/>
                                <w:color w:val="000000"/>
                                <w:lang w:eastAsia="en-US"/>
                              </w:rPr>
                            </w:pPr>
                            <w:r>
                              <w:rPr>
                                <w:rFonts w:cs="Arial" w:ascii="Arial" w:hAnsi="Arial"/>
                                <w:color w:val="000000"/>
                                <w:lang w:eastAsia="en-US"/>
                              </w:rPr>
                              <w:t>1.4</w:t>
                            </w:r>
                          </w:p>
                        </w:tc>
                      </w:tr>
                      <w:tr>
                        <w:trPr>
                          <w:trHeight w:val="247" w:hRule="atLeast"/>
                        </w:trPr>
                        <w:tc>
                          <w:tcPr>
                            <w:tcW w:w="3630" w:type="dxa"/>
                            <w:tcBorders/>
                          </w:tcPr>
                          <w:p>
                            <w:pPr>
                              <w:pStyle w:val="Normal"/>
                              <w:spacing w:before="0" w:after="120"/>
                              <w:rPr>
                                <w:rFonts w:ascii="Arial" w:hAnsi="Arial" w:cs="Arial"/>
                                <w:color w:val="000000"/>
                                <w:lang w:eastAsia="en-US"/>
                              </w:rPr>
                            </w:pPr>
                            <w:r>
                              <w:rPr>
                                <w:rFonts w:cs="Arial" w:ascii="Arial" w:hAnsi="Arial"/>
                                <w:color w:val="000000"/>
                                <w:lang w:eastAsia="en-US"/>
                              </w:rPr>
                              <w:t>Foreign Utilities</w:t>
                            </w:r>
                          </w:p>
                        </w:tc>
                        <w:tc>
                          <w:tcPr>
                            <w:tcW w:w="810" w:type="dxa"/>
                            <w:tcBorders/>
                          </w:tcPr>
                          <w:p>
                            <w:pPr>
                              <w:pStyle w:val="Normal"/>
                              <w:jc w:val="center"/>
                              <w:rPr>
                                <w:rFonts w:ascii="Arial" w:hAnsi="Arial" w:cs="Arial"/>
                                <w:color w:val="000000"/>
                                <w:lang w:eastAsia="en-US"/>
                              </w:rPr>
                            </w:pPr>
                            <w:r>
                              <w:rPr>
                                <w:rFonts w:cs="Arial" w:ascii="Arial" w:hAnsi="Arial"/>
                                <w:color w:val="000000"/>
                                <w:lang w:eastAsia="en-US"/>
                              </w:rPr>
                              <w:t>0.3</w:t>
                            </w:r>
                          </w:p>
                        </w:tc>
                        <w:tc>
                          <w:tcPr>
                            <w:tcW w:w="1980" w:type="dxa"/>
                            <w:tcBorders/>
                          </w:tcPr>
                          <w:p>
                            <w:pPr>
                              <w:pStyle w:val="Normal"/>
                              <w:jc w:val="center"/>
                              <w:rPr>
                                <w:rFonts w:ascii="Arial" w:hAnsi="Arial" w:cs="Arial"/>
                                <w:color w:val="000000"/>
                                <w:lang w:eastAsia="en-US"/>
                              </w:rPr>
                            </w:pPr>
                            <w:r>
                              <w:rPr>
                                <w:rFonts w:cs="Arial" w:ascii="Arial" w:hAnsi="Arial"/>
                                <w:color w:val="000000"/>
                                <w:lang w:eastAsia="en-US"/>
                              </w:rPr>
                              <w:t>0.9</w:t>
                            </w:r>
                          </w:p>
                        </w:tc>
                      </w:tr>
                      <w:tr>
                        <w:trPr>
                          <w:trHeight w:val="247" w:hRule="atLeast"/>
                        </w:trPr>
                        <w:tc>
                          <w:tcPr>
                            <w:tcW w:w="3630" w:type="dxa"/>
                            <w:tcBorders/>
                          </w:tcPr>
                          <w:p>
                            <w:pPr>
                              <w:pStyle w:val="Normal"/>
                              <w:spacing w:before="0" w:after="120"/>
                              <w:rPr>
                                <w:rFonts w:ascii="Arial" w:hAnsi="Arial" w:cs="Arial"/>
                                <w:color w:val="000000"/>
                                <w:lang w:eastAsia="en-US"/>
                              </w:rPr>
                            </w:pPr>
                            <w:r>
                              <w:rPr>
                                <w:rFonts w:cs="Arial" w:ascii="Arial" w:hAnsi="Arial"/>
                                <w:color w:val="000000"/>
                                <w:lang w:eastAsia="en-US"/>
                              </w:rPr>
                              <w:t>Non-Utility Generators</w:t>
                            </w:r>
                          </w:p>
                        </w:tc>
                        <w:tc>
                          <w:tcPr>
                            <w:tcW w:w="810" w:type="dxa"/>
                            <w:tcBorders/>
                          </w:tcPr>
                          <w:p>
                            <w:pPr>
                              <w:pStyle w:val="Normal"/>
                              <w:jc w:val="center"/>
                              <w:rPr>
                                <w:rFonts w:ascii="Arial" w:hAnsi="Arial" w:cs="Arial"/>
                                <w:color w:val="000000"/>
                                <w:lang w:eastAsia="en-US"/>
                              </w:rPr>
                            </w:pPr>
                            <w:r>
                              <w:rPr>
                                <w:rFonts w:cs="Arial" w:ascii="Arial" w:hAnsi="Arial"/>
                                <w:color w:val="000000"/>
                                <w:lang w:eastAsia="en-US"/>
                              </w:rPr>
                              <w:t>0.2</w:t>
                            </w:r>
                          </w:p>
                        </w:tc>
                        <w:tc>
                          <w:tcPr>
                            <w:tcW w:w="1980" w:type="dxa"/>
                            <w:tcBorders/>
                          </w:tcPr>
                          <w:p>
                            <w:pPr>
                              <w:pStyle w:val="Normal"/>
                              <w:jc w:val="center"/>
                              <w:rPr>
                                <w:rFonts w:ascii="Arial" w:hAnsi="Arial" w:cs="Arial"/>
                                <w:color w:val="000000"/>
                                <w:lang w:eastAsia="en-US"/>
                              </w:rPr>
                            </w:pPr>
                            <w:r>
                              <w:rPr>
                                <w:rFonts w:cs="Arial" w:ascii="Arial" w:hAnsi="Arial"/>
                                <w:color w:val="000000"/>
                                <w:lang w:eastAsia="en-US"/>
                              </w:rPr>
                              <w:t>0.5</w:t>
                            </w:r>
                          </w:p>
                        </w:tc>
                      </w:tr>
                    </w:tbl>
                    <w:p>
                      <w:pPr>
                        <w:pStyle w:val="Normal"/>
                        <w:rPr/>
                      </w:pPr>
                      <w:r>
                        <w:rPr/>
                      </w:r>
                    </w:p>
                  </w:txbxContent>
                </v:textbox>
                <w10:wrap type="none"/>
              </v:rect>
            </w:pict>
          </mc:Fallback>
        </mc:AlternateContent>
      </w:r>
    </w:p>
    <w:p>
      <w:pPr>
        <w:pStyle w:val="Normal"/>
        <w:rPr>
          <w:rFonts w:ascii="CG Times;Times New Roman" w:hAnsi="CG Times;Times New Roman" w:cs="CG Times;Times New Roman"/>
          <w:b/>
        </w:rPr>
      </w:pPr>
      <w:r>
        <w:rPr>
          <w:rFonts w:cs="CG Times;Times New Roman" w:ascii="CG Times;Times New Roman" w:hAnsi="CG Times;Times New Roman"/>
          <w:b/>
        </w:rPr>
      </w:r>
    </w:p>
    <w:p>
      <w:pPr>
        <w:pStyle w:val="Normal"/>
        <w:ind w:hanging="720" w:start="720" w:end="0"/>
        <w:rPr/>
      </w:pPr>
      <w:r>
        <w:rPr/>
        <w:t xml:space="preserve">Source: </w:t>
      </w:r>
      <w:r>
        <w:rPr>
          <w:i/>
        </w:rPr>
        <w:t xml:space="preserve">Power Marketing in 1998: Sales Data and Trends, </w:t>
      </w:r>
      <w:r>
        <w:rPr/>
        <w:t>1999 Power Marketers Yearbook — Summary Analysis, p. 21.</w:t>
      </w:r>
      <w:r>
        <w:br w:type="page"/>
      </w:r>
    </w:p>
    <w:p>
      <w:pPr>
        <w:pStyle w:val="Heading1"/>
        <w:rPr/>
      </w:pPr>
      <w:r>
        <w:rPr/>
        <w:t>Predicted Growth for Electronic Commerce</w:t>
      </w:r>
      <w:r>
        <w:fldChar w:fldCharType="begin"/>
      </w:r>
      <w:r>
        <w:rPr/>
        <w:instrText xml:space="preserve"> TC "Predicted Growth for Electronic Commerce" \l 2 </w:instrText>
      </w:r>
      <w:r>
        <w:rPr/>
        <w:fldChar w:fldCharType="separate"/>
      </w:r>
      <w:r>
        <w:rPr/>
      </w:r>
      <w:r>
        <w:rPr/>
        <w:fldChar w:fldCharType="end"/>
      </w:r>
      <w:bookmarkStart w:id="16" w:name="__RefHeading___Toc494713826"/>
      <w:bookmarkEnd w:id="16"/>
    </w:p>
    <w:p>
      <w:pPr>
        <w:pStyle w:val="Normal"/>
        <w:ind w:hanging="720" w:start="720" w:end="0"/>
        <w:rPr/>
      </w:pPr>
      <w:r>
        <w:rPr/>
      </w:r>
    </w:p>
    <w:tbl>
      <w:tblPr>
        <w:tblW w:w="8838" w:type="dxa"/>
        <w:jc w:val="start"/>
        <w:tblInd w:w="0" w:type="dxa"/>
        <w:tblLayout w:type="fixed"/>
        <w:tblCellMar>
          <w:top w:w="0" w:type="dxa"/>
          <w:start w:w="108" w:type="dxa"/>
          <w:bottom w:w="0" w:type="dxa"/>
          <w:end w:w="108" w:type="dxa"/>
        </w:tblCellMar>
      </w:tblPr>
      <w:tblGrid>
        <w:gridCol w:w="3708"/>
        <w:gridCol w:w="5130"/>
      </w:tblGrid>
      <w:tr>
        <w:trPr/>
        <w:tc>
          <w:tcPr>
            <w:tcW w:w="3708" w:type="dxa"/>
            <w:tcBorders>
              <w:top w:val="single" w:sz="12" w:space="0" w:color="000000"/>
              <w:start w:val="single" w:sz="12" w:space="0" w:color="000000"/>
            </w:tcBorders>
            <w:shd w:fill="000000" w:val="clear"/>
          </w:tcPr>
          <w:p>
            <w:pPr>
              <w:pStyle w:val="Normal"/>
              <w:spacing w:before="0" w:after="120"/>
              <w:rPr>
                <w:b/>
                <w:color w:val="FFFFFF"/>
                <w:sz w:val="28"/>
              </w:rPr>
            </w:pPr>
            <w:r>
              <w:rPr>
                <w:b/>
                <w:color w:val="FFFFFF"/>
                <w:sz w:val="28"/>
              </w:rPr>
              <w:t>Sector</w:t>
            </w:r>
          </w:p>
        </w:tc>
        <w:tc>
          <w:tcPr>
            <w:tcW w:w="5130" w:type="dxa"/>
            <w:tcBorders>
              <w:top w:val="single" w:sz="12" w:space="0" w:color="000000"/>
              <w:end w:val="single" w:sz="12" w:space="0" w:color="000000"/>
            </w:tcBorders>
            <w:shd w:fill="000000" w:val="clear"/>
          </w:tcPr>
          <w:p>
            <w:pPr>
              <w:pStyle w:val="Normal"/>
              <w:spacing w:before="0" w:after="120"/>
              <w:jc w:val="center"/>
              <w:rPr>
                <w:b/>
                <w:color w:val="FFFFFF"/>
                <w:sz w:val="28"/>
              </w:rPr>
            </w:pPr>
            <w:r>
              <w:rPr>
                <w:b/>
                <w:color w:val="FFFFFF"/>
                <w:sz w:val="28"/>
              </w:rPr>
              <w:t>Percent of total Sector Revenues</w:t>
            </w:r>
          </w:p>
        </w:tc>
      </w:tr>
      <w:tr>
        <w:trPr/>
        <w:tc>
          <w:tcPr>
            <w:tcW w:w="3708" w:type="dxa"/>
            <w:tcBorders>
              <w:start w:val="single" w:sz="12" w:space="0" w:color="000000"/>
            </w:tcBorders>
          </w:tcPr>
          <w:p>
            <w:pPr>
              <w:pStyle w:val="Normal"/>
              <w:spacing w:before="60" w:after="60"/>
              <w:rPr/>
            </w:pPr>
            <w:r>
              <w:rPr/>
              <w:t>Manufacturing Overall</w:t>
            </w:r>
          </w:p>
        </w:tc>
        <w:tc>
          <w:tcPr>
            <w:tcW w:w="5130" w:type="dxa"/>
            <w:tcBorders>
              <w:end w:val="single" w:sz="12" w:space="0" w:color="000000"/>
            </w:tcBorders>
          </w:tcPr>
          <w:p>
            <w:pPr>
              <w:pStyle w:val="Normal"/>
              <w:tabs>
                <w:tab w:val="clear" w:pos="720"/>
                <w:tab w:val="decimal" w:pos="2322" w:leader="none"/>
              </w:tabs>
              <w:spacing w:before="60" w:after="60"/>
              <w:rPr/>
            </w:pPr>
            <w:r>
              <w:rPr/>
              <w:t>35.5</w:t>
            </w:r>
          </w:p>
        </w:tc>
      </w:tr>
      <w:tr>
        <w:trPr/>
        <w:tc>
          <w:tcPr>
            <w:tcW w:w="3708" w:type="dxa"/>
            <w:tcBorders>
              <w:start w:val="single" w:sz="12" w:space="0" w:color="000000"/>
            </w:tcBorders>
          </w:tcPr>
          <w:p>
            <w:pPr>
              <w:pStyle w:val="Normal"/>
              <w:spacing w:before="60" w:after="60"/>
              <w:rPr/>
            </w:pPr>
            <w:r>
              <w:rPr/>
              <w:t>Electronics</w:t>
            </w:r>
          </w:p>
        </w:tc>
        <w:tc>
          <w:tcPr>
            <w:tcW w:w="5130" w:type="dxa"/>
            <w:tcBorders>
              <w:end w:val="single" w:sz="12" w:space="0" w:color="000000"/>
            </w:tcBorders>
          </w:tcPr>
          <w:p>
            <w:pPr>
              <w:pStyle w:val="Normal"/>
              <w:tabs>
                <w:tab w:val="clear" w:pos="720"/>
                <w:tab w:val="decimal" w:pos="2322" w:leader="none"/>
              </w:tabs>
              <w:spacing w:before="60" w:after="60"/>
              <w:rPr/>
            </w:pPr>
            <w:r>
              <w:rPr/>
              <w:t>55</w:t>
            </w:r>
          </w:p>
        </w:tc>
      </w:tr>
      <w:tr>
        <w:trPr/>
        <w:tc>
          <w:tcPr>
            <w:tcW w:w="3708" w:type="dxa"/>
            <w:tcBorders>
              <w:start w:val="single" w:sz="12" w:space="0" w:color="000000"/>
            </w:tcBorders>
          </w:tcPr>
          <w:p>
            <w:pPr>
              <w:pStyle w:val="Normal"/>
              <w:spacing w:before="60" w:after="60"/>
              <w:rPr/>
            </w:pPr>
            <w:r>
              <w:rPr/>
              <w:t>Industrial Equipment</w:t>
            </w:r>
          </w:p>
        </w:tc>
        <w:tc>
          <w:tcPr>
            <w:tcW w:w="5130" w:type="dxa"/>
            <w:tcBorders>
              <w:end w:val="single" w:sz="12" w:space="0" w:color="000000"/>
            </w:tcBorders>
          </w:tcPr>
          <w:p>
            <w:pPr>
              <w:pStyle w:val="Normal"/>
              <w:tabs>
                <w:tab w:val="clear" w:pos="720"/>
                <w:tab w:val="decimal" w:pos="2322" w:leader="none"/>
              </w:tabs>
              <w:spacing w:before="60" w:after="60"/>
              <w:rPr/>
            </w:pPr>
            <w:r>
              <w:rPr/>
              <w:t>40</w:t>
            </w:r>
          </w:p>
        </w:tc>
      </w:tr>
      <w:tr>
        <w:trPr/>
        <w:tc>
          <w:tcPr>
            <w:tcW w:w="3708" w:type="dxa"/>
            <w:tcBorders>
              <w:start w:val="single" w:sz="12" w:space="0" w:color="000000"/>
            </w:tcBorders>
          </w:tcPr>
          <w:p>
            <w:pPr>
              <w:pStyle w:val="Normal"/>
              <w:spacing w:before="60" w:after="60"/>
              <w:rPr/>
            </w:pPr>
            <w:r>
              <w:rPr/>
              <w:t>Transportation Equipment</w:t>
            </w:r>
          </w:p>
        </w:tc>
        <w:tc>
          <w:tcPr>
            <w:tcW w:w="5130" w:type="dxa"/>
            <w:tcBorders>
              <w:end w:val="single" w:sz="12" w:space="0" w:color="000000"/>
            </w:tcBorders>
          </w:tcPr>
          <w:p>
            <w:pPr>
              <w:pStyle w:val="Normal"/>
              <w:tabs>
                <w:tab w:val="clear" w:pos="720"/>
                <w:tab w:val="decimal" w:pos="2322" w:leader="none"/>
              </w:tabs>
              <w:spacing w:before="60" w:after="60"/>
              <w:rPr/>
            </w:pPr>
            <w:r>
              <w:rPr/>
              <w:t>40</w:t>
            </w:r>
          </w:p>
        </w:tc>
      </w:tr>
      <w:tr>
        <w:trPr/>
        <w:tc>
          <w:tcPr>
            <w:tcW w:w="3708" w:type="dxa"/>
            <w:tcBorders>
              <w:start w:val="single" w:sz="12" w:space="0" w:color="000000"/>
            </w:tcBorders>
          </w:tcPr>
          <w:p>
            <w:pPr>
              <w:pStyle w:val="Normal"/>
              <w:spacing w:before="60" w:after="60"/>
              <w:rPr/>
            </w:pPr>
            <w:r>
              <w:rPr/>
              <w:t>Aerospace &amp; Defense</w:t>
            </w:r>
          </w:p>
        </w:tc>
        <w:tc>
          <w:tcPr>
            <w:tcW w:w="5130" w:type="dxa"/>
            <w:tcBorders>
              <w:end w:val="single" w:sz="12" w:space="0" w:color="000000"/>
            </w:tcBorders>
          </w:tcPr>
          <w:p>
            <w:pPr>
              <w:pStyle w:val="Normal"/>
              <w:tabs>
                <w:tab w:val="clear" w:pos="720"/>
                <w:tab w:val="decimal" w:pos="2322" w:leader="none"/>
              </w:tabs>
              <w:spacing w:before="60" w:after="60"/>
              <w:rPr/>
            </w:pPr>
            <w:r>
              <w:rPr/>
              <w:t>35</w:t>
            </w:r>
          </w:p>
        </w:tc>
      </w:tr>
      <w:tr>
        <w:trPr/>
        <w:tc>
          <w:tcPr>
            <w:tcW w:w="3708" w:type="dxa"/>
            <w:tcBorders>
              <w:start w:val="single" w:sz="12" w:space="0" w:color="000000"/>
            </w:tcBorders>
          </w:tcPr>
          <w:p>
            <w:pPr>
              <w:pStyle w:val="Normal"/>
              <w:spacing w:before="60" w:after="60"/>
              <w:rPr/>
            </w:pPr>
            <w:r>
              <w:rPr/>
              <w:t>Other Discrete Manufacturing</w:t>
            </w:r>
          </w:p>
        </w:tc>
        <w:tc>
          <w:tcPr>
            <w:tcW w:w="5130" w:type="dxa"/>
            <w:tcBorders>
              <w:end w:val="single" w:sz="12" w:space="0" w:color="000000"/>
            </w:tcBorders>
          </w:tcPr>
          <w:p>
            <w:pPr>
              <w:pStyle w:val="Normal"/>
              <w:tabs>
                <w:tab w:val="clear" w:pos="720"/>
                <w:tab w:val="decimal" w:pos="2322" w:leader="none"/>
              </w:tabs>
              <w:spacing w:before="60" w:after="60"/>
              <w:rPr/>
            </w:pPr>
            <w:r>
              <w:rPr/>
              <w:t>34</w:t>
            </w:r>
          </w:p>
        </w:tc>
      </w:tr>
      <w:tr>
        <w:trPr/>
        <w:tc>
          <w:tcPr>
            <w:tcW w:w="3708" w:type="dxa"/>
            <w:tcBorders>
              <w:start w:val="single" w:sz="12" w:space="0" w:color="000000"/>
            </w:tcBorders>
          </w:tcPr>
          <w:p>
            <w:pPr>
              <w:pStyle w:val="Normal"/>
              <w:spacing w:before="60" w:after="60"/>
              <w:rPr/>
            </w:pPr>
            <w:r>
              <w:rPr/>
              <w:t>Chemical/Oil Products</w:t>
            </w:r>
          </w:p>
        </w:tc>
        <w:tc>
          <w:tcPr>
            <w:tcW w:w="5130" w:type="dxa"/>
            <w:tcBorders>
              <w:end w:val="single" w:sz="12" w:space="0" w:color="000000"/>
            </w:tcBorders>
          </w:tcPr>
          <w:p>
            <w:pPr>
              <w:pStyle w:val="Normal"/>
              <w:tabs>
                <w:tab w:val="clear" w:pos="720"/>
                <w:tab w:val="decimal" w:pos="2322" w:leader="none"/>
              </w:tabs>
              <w:spacing w:before="60" w:after="60"/>
              <w:rPr/>
            </w:pPr>
            <w:r>
              <w:rPr/>
              <w:t>26</w:t>
            </w:r>
          </w:p>
        </w:tc>
      </w:tr>
      <w:tr>
        <w:trPr/>
        <w:tc>
          <w:tcPr>
            <w:tcW w:w="3708" w:type="dxa"/>
            <w:tcBorders>
              <w:start w:val="single" w:sz="12" w:space="0" w:color="000000"/>
            </w:tcBorders>
          </w:tcPr>
          <w:p>
            <w:pPr>
              <w:pStyle w:val="Normal"/>
              <w:spacing w:before="60" w:after="60"/>
              <w:rPr/>
            </w:pPr>
            <w:r>
              <w:rPr/>
              <w:t>Oil &amp; Gas Extraction</w:t>
            </w:r>
          </w:p>
        </w:tc>
        <w:tc>
          <w:tcPr>
            <w:tcW w:w="5130" w:type="dxa"/>
            <w:tcBorders>
              <w:end w:val="single" w:sz="12" w:space="0" w:color="000000"/>
            </w:tcBorders>
          </w:tcPr>
          <w:p>
            <w:pPr>
              <w:pStyle w:val="Normal"/>
              <w:tabs>
                <w:tab w:val="clear" w:pos="720"/>
                <w:tab w:val="decimal" w:pos="2322" w:leader="none"/>
              </w:tabs>
              <w:spacing w:before="60" w:after="60"/>
              <w:rPr/>
            </w:pPr>
            <w:r>
              <w:rPr/>
              <w:t>12.5</w:t>
            </w:r>
          </w:p>
        </w:tc>
      </w:tr>
      <w:tr>
        <w:trPr/>
        <w:tc>
          <w:tcPr>
            <w:tcW w:w="3708" w:type="dxa"/>
            <w:tcBorders>
              <w:start w:val="single" w:sz="12" w:space="0" w:color="000000"/>
            </w:tcBorders>
          </w:tcPr>
          <w:p>
            <w:pPr>
              <w:pStyle w:val="Normal"/>
              <w:spacing w:before="60" w:after="60"/>
              <w:rPr/>
            </w:pPr>
            <w:r>
              <w:rPr/>
              <w:t>Utilities</w:t>
            </w:r>
          </w:p>
        </w:tc>
        <w:tc>
          <w:tcPr>
            <w:tcW w:w="5130" w:type="dxa"/>
            <w:tcBorders>
              <w:end w:val="single" w:sz="12" w:space="0" w:color="000000"/>
            </w:tcBorders>
          </w:tcPr>
          <w:p>
            <w:pPr>
              <w:pStyle w:val="Normal"/>
              <w:tabs>
                <w:tab w:val="clear" w:pos="720"/>
                <w:tab w:val="decimal" w:pos="2322" w:leader="none"/>
              </w:tabs>
              <w:spacing w:before="60" w:after="60"/>
              <w:rPr/>
            </w:pPr>
            <w:r>
              <w:rPr/>
              <w:t>28</w:t>
            </w:r>
          </w:p>
        </w:tc>
      </w:tr>
      <w:tr>
        <w:trPr/>
        <w:tc>
          <w:tcPr>
            <w:tcW w:w="3708" w:type="dxa"/>
            <w:tcBorders>
              <w:start w:val="single" w:sz="12" w:space="0" w:color="000000"/>
            </w:tcBorders>
          </w:tcPr>
          <w:p>
            <w:pPr>
              <w:pStyle w:val="Normal"/>
              <w:spacing w:before="60" w:after="60"/>
              <w:rPr/>
            </w:pPr>
            <w:r>
              <w:rPr/>
              <w:t>Wholesale Trade</w:t>
            </w:r>
          </w:p>
        </w:tc>
        <w:tc>
          <w:tcPr>
            <w:tcW w:w="5130" w:type="dxa"/>
            <w:tcBorders>
              <w:end w:val="single" w:sz="12" w:space="0" w:color="000000"/>
            </w:tcBorders>
          </w:tcPr>
          <w:p>
            <w:pPr>
              <w:pStyle w:val="Normal"/>
              <w:tabs>
                <w:tab w:val="clear" w:pos="720"/>
                <w:tab w:val="decimal" w:pos="2322" w:leader="none"/>
              </w:tabs>
              <w:spacing w:before="60" w:after="60"/>
              <w:rPr/>
            </w:pPr>
            <w:r>
              <w:rPr/>
              <w:t>35</w:t>
            </w:r>
          </w:p>
        </w:tc>
      </w:tr>
      <w:tr>
        <w:trPr/>
        <w:tc>
          <w:tcPr>
            <w:tcW w:w="3708" w:type="dxa"/>
            <w:tcBorders>
              <w:start w:val="single" w:sz="12" w:space="0" w:color="000000"/>
            </w:tcBorders>
          </w:tcPr>
          <w:p>
            <w:pPr>
              <w:pStyle w:val="Normal"/>
              <w:spacing w:before="60" w:after="60"/>
              <w:rPr/>
            </w:pPr>
            <w:r>
              <w:rPr/>
              <w:t>Retail Trade</w:t>
            </w:r>
          </w:p>
        </w:tc>
        <w:tc>
          <w:tcPr>
            <w:tcW w:w="5130" w:type="dxa"/>
            <w:tcBorders>
              <w:end w:val="single" w:sz="12" w:space="0" w:color="000000"/>
            </w:tcBorders>
          </w:tcPr>
          <w:p>
            <w:pPr>
              <w:pStyle w:val="Normal"/>
              <w:tabs>
                <w:tab w:val="clear" w:pos="720"/>
                <w:tab w:val="decimal" w:pos="2322" w:leader="none"/>
              </w:tabs>
              <w:spacing w:before="60" w:after="60"/>
              <w:rPr/>
            </w:pPr>
            <w:r>
              <w:rPr/>
              <w:t>15</w:t>
            </w:r>
          </w:p>
        </w:tc>
      </w:tr>
      <w:tr>
        <w:trPr/>
        <w:tc>
          <w:tcPr>
            <w:tcW w:w="3708" w:type="dxa"/>
            <w:tcBorders>
              <w:start w:val="single" w:sz="12" w:space="0" w:color="000000"/>
              <w:bottom w:val="single" w:sz="12" w:space="0" w:color="000000"/>
            </w:tcBorders>
          </w:tcPr>
          <w:p>
            <w:pPr>
              <w:pStyle w:val="Normal"/>
              <w:spacing w:before="60" w:after="60"/>
              <w:rPr/>
            </w:pPr>
            <w:r>
              <w:rPr/>
              <w:t>Business Services</w:t>
            </w:r>
          </w:p>
        </w:tc>
        <w:tc>
          <w:tcPr>
            <w:tcW w:w="5130" w:type="dxa"/>
            <w:tcBorders>
              <w:bottom w:val="single" w:sz="12" w:space="0" w:color="000000"/>
              <w:end w:val="single" w:sz="12" w:space="0" w:color="000000"/>
            </w:tcBorders>
          </w:tcPr>
          <w:p>
            <w:pPr>
              <w:pStyle w:val="Normal"/>
              <w:tabs>
                <w:tab w:val="clear" w:pos="720"/>
                <w:tab w:val="decimal" w:pos="2322" w:leader="none"/>
              </w:tabs>
              <w:spacing w:before="60" w:after="60"/>
              <w:rPr/>
            </w:pPr>
            <w:r>
              <w:rPr/>
              <w:t>22.5</w:t>
            </w:r>
          </w:p>
        </w:tc>
      </w:tr>
    </w:tbl>
    <w:p>
      <w:pPr>
        <w:pStyle w:val="Normal"/>
        <w:ind w:hanging="720" w:start="720" w:end="0"/>
        <w:rPr/>
      </w:pPr>
      <w:r>
        <w:rPr/>
        <w:t>Source: AMR Research</w:t>
      </w:r>
    </w:p>
    <w:p>
      <w:pPr>
        <w:pStyle w:val="Normal"/>
        <w:ind w:hanging="720" w:start="720" w:end="0"/>
        <w:rPr/>
      </w:pPr>
      <w:r>
        <w:rPr/>
      </w:r>
      <w:r>
        <w:br w:type="page"/>
      </w:r>
    </w:p>
    <w:p>
      <w:pPr>
        <w:pStyle w:val="Heading1"/>
        <w:rPr>
          <w:smallCaps/>
        </w:rPr>
      </w:pPr>
      <w:r>
        <w:rPr/>
        <w:t>European Exchanges</w:t>
      </w:r>
      <w:r>
        <w:fldChar w:fldCharType="begin"/>
      </w:r>
      <w:r>
        <w:rPr/>
        <w:instrText xml:space="preserve"> TC "European Exchanges" \l 2 </w:instrText>
      </w:r>
      <w:r>
        <w:rPr/>
        <w:fldChar w:fldCharType="separate"/>
      </w:r>
      <w:r>
        <w:rPr/>
      </w:r>
      <w:r>
        <w:rPr/>
        <w:fldChar w:fldCharType="end"/>
      </w:r>
      <w:bookmarkStart w:id="17" w:name="__RefHeading___Toc494713827"/>
      <w:bookmarkEnd w:id="17"/>
    </w:p>
    <w:p>
      <w:pPr>
        <w:pStyle w:val="Normal"/>
        <w:ind w:hanging="720" w:start="720" w:end="0"/>
        <w:jc w:val="center"/>
        <w:rPr>
          <w:b/>
          <w:smallCaps/>
          <w:sz w:val="28"/>
        </w:rPr>
      </w:pPr>
      <w:r>
        <w:rPr>
          <w:b/>
          <w:smallCaps/>
          <w:sz w:val="28"/>
        </w:rPr>
      </w:r>
    </w:p>
    <w:tbl>
      <w:tblPr>
        <w:tblW w:w="8802" w:type="dxa"/>
        <w:jc w:val="start"/>
        <w:tblInd w:w="0" w:type="dxa"/>
        <w:tblLayout w:type="fixed"/>
        <w:tblCellMar>
          <w:top w:w="0" w:type="dxa"/>
          <w:start w:w="72" w:type="dxa"/>
          <w:bottom w:w="0" w:type="dxa"/>
          <w:end w:w="72" w:type="dxa"/>
        </w:tblCellMar>
      </w:tblPr>
      <w:tblGrid>
        <w:gridCol w:w="1800"/>
        <w:gridCol w:w="4572"/>
        <w:gridCol w:w="2430"/>
      </w:tblGrid>
      <w:tr>
        <w:trPr/>
        <w:tc>
          <w:tcPr>
            <w:tcW w:w="1800" w:type="dxa"/>
            <w:tcBorders>
              <w:top w:val="threeDEmboss" w:sz="6" w:space="0" w:color="000000"/>
              <w:start w:val="threeDEmboss" w:sz="6" w:space="0" w:color="000000"/>
              <w:bottom w:val="threeDEmboss" w:sz="6" w:space="0" w:color="000000"/>
              <w:end w:val="threeDEmboss" w:sz="6" w:space="0" w:color="000000"/>
            </w:tcBorders>
            <w:vAlign w:val="center"/>
          </w:tcPr>
          <w:p>
            <w:pPr>
              <w:pStyle w:val="Normal"/>
              <w:spacing w:before="40" w:after="0"/>
              <w:rPr/>
            </w:pPr>
            <w:r>
              <w:rPr>
                <w:rStyle w:val="Strong"/>
              </w:rPr>
              <w:t>EXCHANGE</w:t>
            </w:r>
          </w:p>
        </w:tc>
        <w:tc>
          <w:tcPr>
            <w:tcW w:w="4572" w:type="dxa"/>
            <w:tcBorders>
              <w:top w:val="threeDEmboss" w:sz="6" w:space="0" w:color="000000"/>
              <w:start w:val="threeDEmboss" w:sz="6" w:space="0" w:color="000000"/>
              <w:bottom w:val="threeDEmboss" w:sz="6" w:space="0" w:color="000000"/>
              <w:end w:val="threeDEmboss" w:sz="6" w:space="0" w:color="000000"/>
            </w:tcBorders>
            <w:vAlign w:val="center"/>
          </w:tcPr>
          <w:p>
            <w:pPr>
              <w:pStyle w:val="Normal"/>
              <w:spacing w:before="40" w:after="0"/>
              <w:rPr/>
            </w:pPr>
            <w:r>
              <w:rPr>
                <w:rStyle w:val="Strong"/>
              </w:rPr>
              <w:t>STATUS</w:t>
            </w:r>
          </w:p>
        </w:tc>
        <w:tc>
          <w:tcPr>
            <w:tcW w:w="2430" w:type="dxa"/>
            <w:tcBorders>
              <w:top w:val="threeDEmboss" w:sz="6" w:space="0" w:color="000000"/>
              <w:start w:val="threeDEmboss" w:sz="6" w:space="0" w:color="000000"/>
              <w:bottom w:val="threeDEmboss" w:sz="6" w:space="0" w:color="000000"/>
              <w:end w:val="threeDEmboss" w:sz="6" w:space="0" w:color="000000"/>
            </w:tcBorders>
            <w:vAlign w:val="center"/>
          </w:tcPr>
          <w:p>
            <w:pPr>
              <w:pStyle w:val="Normal"/>
              <w:spacing w:before="40" w:after="0"/>
              <w:rPr/>
            </w:pPr>
            <w:r>
              <w:rPr>
                <w:rStyle w:val="Strong"/>
              </w:rPr>
              <w:t>GOING FORWARD</w:t>
            </w:r>
          </w:p>
        </w:tc>
      </w:tr>
      <w:tr>
        <w:trPr/>
        <w:tc>
          <w:tcPr>
            <w:tcW w:w="1800" w:type="dxa"/>
            <w:tcBorders>
              <w:top w:val="threeDEmboss" w:sz="6" w:space="0" w:color="000000"/>
              <w:start w:val="threeDEmboss" w:sz="6" w:space="0" w:color="000000"/>
              <w:bottom w:val="threeDEmboss" w:sz="6" w:space="0" w:color="000000"/>
              <w:end w:val="threeDEmboss" w:sz="6" w:space="0" w:color="000000"/>
            </w:tcBorders>
          </w:tcPr>
          <w:p>
            <w:pPr>
              <w:pStyle w:val="Normal"/>
              <w:spacing w:before="40" w:after="0"/>
              <w:jc w:val="start"/>
              <w:rPr/>
            </w:pPr>
            <w:r>
              <w:rPr/>
              <w:t>NordPool, Oslo</w:t>
            </w:r>
          </w:p>
        </w:tc>
        <w:tc>
          <w:tcPr>
            <w:tcW w:w="4572" w:type="dxa"/>
            <w:tcBorders>
              <w:top w:val="threeDEmboss" w:sz="6" w:space="0" w:color="000000"/>
              <w:start w:val="threeDEmboss" w:sz="6" w:space="0" w:color="000000"/>
              <w:bottom w:val="threeDEmboss" w:sz="6" w:space="0" w:color="000000"/>
              <w:end w:val="threeDEmboss" w:sz="6" w:space="0" w:color="000000"/>
            </w:tcBorders>
          </w:tcPr>
          <w:p>
            <w:pPr>
              <w:pStyle w:val="Normal"/>
              <w:spacing w:before="40" w:after="0"/>
              <w:jc w:val="start"/>
              <w:rPr/>
            </w:pPr>
            <w:r>
              <w:rPr/>
              <w:t>First true power exchange. Serving Norway and Sweden since 1993. Expanded in 1998-1999 to include Finland and parts of Denmark.</w:t>
            </w:r>
          </w:p>
        </w:tc>
        <w:tc>
          <w:tcPr>
            <w:tcW w:w="2430" w:type="dxa"/>
            <w:tcBorders>
              <w:top w:val="threeDEmboss" w:sz="6" w:space="0" w:color="000000"/>
              <w:start w:val="threeDEmboss" w:sz="6" w:space="0" w:color="000000"/>
              <w:bottom w:val="threeDEmboss" w:sz="6" w:space="0" w:color="000000"/>
              <w:end w:val="threeDEmboss" w:sz="6" w:space="0" w:color="000000"/>
            </w:tcBorders>
          </w:tcPr>
          <w:p>
            <w:pPr>
              <w:pStyle w:val="Normal"/>
              <w:spacing w:before="40" w:after="100"/>
              <w:jc w:val="start"/>
              <w:rPr/>
            </w:pPr>
            <w:r>
              <w:rPr/>
              <w:t>Becoming a full-scale regional operation with strong spot and futures markets. Wider European ambitions.</w:t>
            </w:r>
          </w:p>
        </w:tc>
      </w:tr>
      <w:tr>
        <w:trPr/>
        <w:tc>
          <w:tcPr>
            <w:tcW w:w="1800" w:type="dxa"/>
            <w:tcBorders>
              <w:top w:val="threeDEmboss" w:sz="6" w:space="0" w:color="000000"/>
              <w:start w:val="threeDEmboss" w:sz="6" w:space="0" w:color="000000"/>
              <w:bottom w:val="threeDEmboss" w:sz="6" w:space="0" w:color="000000"/>
              <w:end w:val="threeDEmboss" w:sz="6" w:space="0" w:color="000000"/>
            </w:tcBorders>
          </w:tcPr>
          <w:p>
            <w:pPr>
              <w:pStyle w:val="Normal"/>
              <w:spacing w:before="40" w:after="0"/>
              <w:jc w:val="start"/>
              <w:rPr/>
            </w:pPr>
            <w:r>
              <w:rPr/>
              <w:t>Amsterdam Power Exchange (APX)</w:t>
            </w:r>
          </w:p>
        </w:tc>
        <w:tc>
          <w:tcPr>
            <w:tcW w:w="4572" w:type="dxa"/>
            <w:tcBorders>
              <w:top w:val="threeDEmboss" w:sz="6" w:space="0" w:color="000000"/>
              <w:start w:val="threeDEmboss" w:sz="6" w:space="0" w:color="000000"/>
              <w:bottom w:val="threeDEmboss" w:sz="6" w:space="0" w:color="000000"/>
              <w:end w:val="threeDEmboss" w:sz="6" w:space="0" w:color="000000"/>
            </w:tcBorders>
          </w:tcPr>
          <w:p>
            <w:pPr>
              <w:pStyle w:val="Normal"/>
              <w:spacing w:before="40" w:after="0"/>
              <w:jc w:val="start"/>
              <w:rPr/>
            </w:pPr>
            <w:r>
              <w:rPr/>
              <w:t>Began operations in May 1999 with a spot market operation covering the Dutch market and attracting power from northern Germany and players from all over Europe.</w:t>
            </w:r>
          </w:p>
        </w:tc>
        <w:tc>
          <w:tcPr>
            <w:tcW w:w="2430" w:type="dxa"/>
            <w:tcBorders>
              <w:top w:val="threeDEmboss" w:sz="6" w:space="0" w:color="000000"/>
              <w:start w:val="threeDEmboss" w:sz="6" w:space="0" w:color="000000"/>
              <w:bottom w:val="threeDEmboss" w:sz="6" w:space="0" w:color="000000"/>
              <w:end w:val="threeDEmboss" w:sz="6" w:space="0" w:color="000000"/>
            </w:tcBorders>
            <w:vAlign w:val="center"/>
          </w:tcPr>
          <w:p>
            <w:pPr>
              <w:pStyle w:val="Normal"/>
              <w:spacing w:before="40" w:after="100"/>
              <w:jc w:val="start"/>
              <w:rPr/>
            </w:pPr>
            <w:r>
              <w:rPr/>
              <w:t>Beset by start-up problems, APX is working towards the start of a futures market. Opinion is divided on whether it will grow from its small Dutch base to carve out a larger European role.</w:t>
            </w:r>
          </w:p>
        </w:tc>
      </w:tr>
      <w:tr>
        <w:trPr/>
        <w:tc>
          <w:tcPr>
            <w:tcW w:w="1800" w:type="dxa"/>
            <w:tcBorders>
              <w:top w:val="threeDEmboss" w:sz="6" w:space="0" w:color="000000"/>
              <w:start w:val="threeDEmboss" w:sz="6" w:space="0" w:color="000000"/>
              <w:bottom w:val="threeDEmboss" w:sz="6" w:space="0" w:color="000000"/>
              <w:end w:val="threeDEmboss" w:sz="6" w:space="0" w:color="000000"/>
            </w:tcBorders>
          </w:tcPr>
          <w:p>
            <w:pPr>
              <w:pStyle w:val="Normal"/>
              <w:spacing w:before="40" w:after="0"/>
              <w:jc w:val="start"/>
              <w:rPr/>
            </w:pPr>
            <w:r>
              <w:rPr/>
              <w:t>German Energy Exchange in Frankfurt</w:t>
            </w:r>
          </w:p>
        </w:tc>
        <w:tc>
          <w:tcPr>
            <w:tcW w:w="4572" w:type="dxa"/>
            <w:tcBorders>
              <w:top w:val="threeDEmboss" w:sz="6" w:space="0" w:color="000000"/>
              <w:start w:val="threeDEmboss" w:sz="6" w:space="0" w:color="000000"/>
              <w:bottom w:val="threeDEmboss" w:sz="6" w:space="0" w:color="000000"/>
              <w:end w:val="threeDEmboss" w:sz="6" w:space="0" w:color="000000"/>
            </w:tcBorders>
            <w:vAlign w:val="center"/>
          </w:tcPr>
          <w:p>
            <w:pPr>
              <w:pStyle w:val="Normal"/>
              <w:spacing w:before="40" w:after="100"/>
              <w:jc w:val="start"/>
              <w:rPr/>
            </w:pPr>
            <w:r>
              <w:rPr/>
              <w:t>Took steps in June 1999 to start an exchange to rival the Leipzig venture. Received semi-official backing from the Germany power industry and government, plus the Swiss power industry. Will start with a futures market, scheduled to launch in mid-2000, followed by spot trading at a later date. Has strong technical expertise based on the Frankfurt stock exchange.</w:t>
            </w:r>
          </w:p>
        </w:tc>
        <w:tc>
          <w:tcPr>
            <w:tcW w:w="2430" w:type="dxa"/>
            <w:tcBorders>
              <w:top w:val="threeDEmboss" w:sz="6" w:space="0" w:color="000000"/>
              <w:start w:val="threeDEmboss" w:sz="6" w:space="0" w:color="000000"/>
              <w:bottom w:val="threeDEmboss" w:sz="6" w:space="0" w:color="000000"/>
              <w:end w:val="threeDEmboss" w:sz="6" w:space="0" w:color="000000"/>
            </w:tcBorders>
          </w:tcPr>
          <w:p>
            <w:pPr>
              <w:pStyle w:val="Normal"/>
              <w:spacing w:before="40" w:after="0"/>
              <w:jc w:val="start"/>
              <w:rPr/>
            </w:pPr>
            <w:r>
              <w:rPr/>
              <w:t>Executives are looking beyond Germany's borders to become a dominant European energy exchange.</w:t>
            </w:r>
          </w:p>
        </w:tc>
      </w:tr>
      <w:tr>
        <w:trPr/>
        <w:tc>
          <w:tcPr>
            <w:tcW w:w="1800" w:type="dxa"/>
            <w:tcBorders>
              <w:top w:val="threeDEmboss" w:sz="6" w:space="0" w:color="000000"/>
              <w:start w:val="threeDEmboss" w:sz="6" w:space="0" w:color="000000"/>
              <w:bottom w:val="threeDEmboss" w:sz="6" w:space="0" w:color="000000"/>
              <w:end w:val="threeDEmboss" w:sz="6" w:space="0" w:color="000000"/>
            </w:tcBorders>
          </w:tcPr>
          <w:p>
            <w:pPr>
              <w:pStyle w:val="Normal"/>
              <w:spacing w:before="40" w:after="0"/>
              <w:jc w:val="start"/>
              <w:rPr/>
            </w:pPr>
            <w:r>
              <w:rPr/>
              <w:t>Exchange in Leipzig</w:t>
            </w:r>
          </w:p>
        </w:tc>
        <w:tc>
          <w:tcPr>
            <w:tcW w:w="4572" w:type="dxa"/>
            <w:tcBorders>
              <w:top w:val="threeDEmboss" w:sz="6" w:space="0" w:color="000000"/>
              <w:start w:val="threeDEmboss" w:sz="6" w:space="0" w:color="000000"/>
              <w:bottom w:val="threeDEmboss" w:sz="6" w:space="0" w:color="000000"/>
              <w:end w:val="threeDEmboss" w:sz="6" w:space="0" w:color="000000"/>
            </w:tcBorders>
          </w:tcPr>
          <w:p>
            <w:pPr>
              <w:pStyle w:val="Normal"/>
              <w:spacing w:before="40" w:after="0"/>
              <w:jc w:val="start"/>
              <w:rPr/>
            </w:pPr>
            <w:r>
              <w:rPr/>
              <w:t>Moved in June 1999 to start an exchange to rival the Frankfurt venture. Lost out to Frankfurt for the endorsement from an industry-government group. Received strong political support from eastern German state governments. Has access to technical expertise from NordPool, which is one of its major investors.</w:t>
            </w:r>
          </w:p>
        </w:tc>
        <w:tc>
          <w:tcPr>
            <w:tcW w:w="2430" w:type="dxa"/>
            <w:tcBorders>
              <w:top w:val="threeDEmboss" w:sz="6" w:space="0" w:color="000000"/>
              <w:start w:val="threeDEmboss" w:sz="6" w:space="0" w:color="000000"/>
              <w:bottom w:val="threeDEmboss" w:sz="6" w:space="0" w:color="000000"/>
              <w:end w:val="threeDEmboss" w:sz="6" w:space="0" w:color="000000"/>
            </w:tcBorders>
          </w:tcPr>
          <w:p>
            <w:pPr>
              <w:pStyle w:val="Normal"/>
              <w:spacing w:before="40" w:after="100"/>
              <w:jc w:val="start"/>
              <w:rPr/>
            </w:pPr>
            <w:r>
              <w:rPr/>
              <w:t xml:space="preserve">May add futures trading soon after. May beat the slower </w:t>
            </w:r>
            <w:r>
              <w:rPr>
                <w:rStyle w:val="Strong"/>
                <w:b w:val="false"/>
              </w:rPr>
              <w:t>Frankfurt</w:t>
            </w:r>
            <w:r>
              <w:rPr>
                <w:b/>
              </w:rPr>
              <w:t xml:space="preserve"> </w:t>
            </w:r>
            <w:r>
              <w:rPr>
                <w:rStyle w:val="Strong"/>
                <w:b w:val="false"/>
              </w:rPr>
              <w:t>group</w:t>
            </w:r>
            <w:r>
              <w:rPr/>
              <w:t xml:space="preserve"> to market, but the jury is out on whether the trading business will gravitate to Leipzig—or whether Germany has room for two competing exchanges.</w:t>
            </w:r>
          </w:p>
        </w:tc>
      </w:tr>
      <w:tr>
        <w:trPr/>
        <w:tc>
          <w:tcPr>
            <w:tcW w:w="1800" w:type="dxa"/>
            <w:tcBorders>
              <w:top w:val="threeDEmboss" w:sz="6" w:space="0" w:color="000000"/>
              <w:start w:val="threeDEmboss" w:sz="6" w:space="0" w:color="000000"/>
              <w:bottom w:val="threeDEmboss" w:sz="6" w:space="0" w:color="000000"/>
              <w:end w:val="threeDEmboss" w:sz="6" w:space="0" w:color="000000"/>
            </w:tcBorders>
          </w:tcPr>
          <w:p>
            <w:pPr>
              <w:pStyle w:val="Normal"/>
              <w:spacing w:before="40" w:after="0"/>
              <w:jc w:val="start"/>
              <w:rPr/>
            </w:pPr>
            <w:r>
              <w:rPr/>
              <w:t>Exchange in the U.K.</w:t>
            </w:r>
          </w:p>
        </w:tc>
        <w:tc>
          <w:tcPr>
            <w:tcW w:w="4572" w:type="dxa"/>
            <w:tcBorders>
              <w:top w:val="threeDEmboss" w:sz="6" w:space="0" w:color="000000"/>
              <w:start w:val="threeDEmboss" w:sz="6" w:space="0" w:color="000000"/>
              <w:bottom w:val="threeDEmboss" w:sz="6" w:space="0" w:color="000000"/>
              <w:end w:val="threeDEmboss" w:sz="6" w:space="0" w:color="000000"/>
            </w:tcBorders>
            <w:vAlign w:val="center"/>
          </w:tcPr>
          <w:p>
            <w:pPr>
              <w:pStyle w:val="Normal"/>
              <w:spacing w:before="40" w:after="100"/>
              <w:jc w:val="start"/>
              <w:rPr/>
            </w:pPr>
            <w:r>
              <w:rPr/>
              <w:t>In June 1998, The Government moved to change its nine-year-old mandatory generation pool system into an open power exchange system similar to the NordPool model. Increasing problems with price spikes in the British pool during early 1999 increased pressure to switch.</w:t>
            </w:r>
          </w:p>
        </w:tc>
        <w:tc>
          <w:tcPr>
            <w:tcW w:w="2430" w:type="dxa"/>
            <w:tcBorders>
              <w:top w:val="threeDEmboss" w:sz="6" w:space="0" w:color="000000"/>
              <w:start w:val="threeDEmboss" w:sz="6" w:space="0" w:color="000000"/>
              <w:bottom w:val="threeDEmboss" w:sz="6" w:space="0" w:color="000000"/>
              <w:end w:val="threeDEmboss" w:sz="6" w:space="0" w:color="000000"/>
            </w:tcBorders>
          </w:tcPr>
          <w:p>
            <w:pPr>
              <w:pStyle w:val="Normal"/>
              <w:spacing w:before="40" w:after="0"/>
              <w:jc w:val="start"/>
              <w:rPr/>
            </w:pPr>
            <w:r>
              <w:rPr/>
              <w:t>Launch date appears to be slipping to late 2000 or even 2001 as the British power industry and regulators work out the details.</w:t>
            </w:r>
          </w:p>
        </w:tc>
      </w:tr>
      <w:tr>
        <w:trPr/>
        <w:tc>
          <w:tcPr>
            <w:tcW w:w="1800" w:type="dxa"/>
            <w:tcBorders>
              <w:top w:val="threeDEmboss" w:sz="6" w:space="0" w:color="000000"/>
              <w:start w:val="threeDEmboss" w:sz="6" w:space="0" w:color="000000"/>
              <w:bottom w:val="threeDEmboss" w:sz="6" w:space="0" w:color="000000"/>
              <w:end w:val="threeDEmboss" w:sz="6" w:space="0" w:color="000000"/>
            </w:tcBorders>
          </w:tcPr>
          <w:p>
            <w:pPr>
              <w:pStyle w:val="Normal"/>
              <w:spacing w:before="40" w:after="0"/>
              <w:jc w:val="start"/>
              <w:rPr/>
            </w:pPr>
            <w:r>
              <w:rPr/>
              <w:t>Exchange in Spain</w:t>
            </w:r>
          </w:p>
        </w:tc>
        <w:tc>
          <w:tcPr>
            <w:tcW w:w="4572" w:type="dxa"/>
            <w:tcBorders>
              <w:top w:val="threeDEmboss" w:sz="6" w:space="0" w:color="000000"/>
              <w:start w:val="threeDEmboss" w:sz="6" w:space="0" w:color="000000"/>
              <w:bottom w:val="threeDEmboss" w:sz="6" w:space="0" w:color="000000"/>
              <w:end w:val="threeDEmboss" w:sz="6" w:space="0" w:color="000000"/>
            </w:tcBorders>
            <w:vAlign w:val="center"/>
          </w:tcPr>
          <w:p>
            <w:pPr>
              <w:pStyle w:val="Normal"/>
              <w:spacing w:before="40" w:after="100"/>
              <w:jc w:val="start"/>
              <w:rPr/>
            </w:pPr>
            <w:r>
              <w:rPr/>
              <w:t>Started a national hourly spot market in January 1998.</w:t>
            </w:r>
          </w:p>
        </w:tc>
        <w:tc>
          <w:tcPr>
            <w:tcW w:w="2430" w:type="dxa"/>
            <w:tcBorders>
              <w:top w:val="threeDEmboss" w:sz="6" w:space="0" w:color="000000"/>
              <w:start w:val="threeDEmboss" w:sz="6" w:space="0" w:color="000000"/>
              <w:bottom w:val="threeDEmboss" w:sz="6" w:space="0" w:color="000000"/>
              <w:end w:val="threeDEmboss" w:sz="6" w:space="0" w:color="000000"/>
            </w:tcBorders>
          </w:tcPr>
          <w:p>
            <w:pPr>
              <w:pStyle w:val="Normal"/>
              <w:spacing w:before="40" w:after="0"/>
              <w:jc w:val="start"/>
              <w:rPr/>
            </w:pPr>
            <w:r>
              <w:rPr/>
              <w:t>N/A</w:t>
            </w:r>
          </w:p>
        </w:tc>
      </w:tr>
      <w:tr>
        <w:trPr/>
        <w:tc>
          <w:tcPr>
            <w:tcW w:w="1800" w:type="dxa"/>
            <w:tcBorders>
              <w:top w:val="threeDEmboss" w:sz="6" w:space="0" w:color="000000"/>
              <w:start w:val="threeDEmboss" w:sz="6" w:space="0" w:color="000000"/>
              <w:bottom w:val="threeDEmboss" w:sz="6" w:space="0" w:color="000000"/>
              <w:end w:val="threeDEmboss" w:sz="6" w:space="0" w:color="000000"/>
            </w:tcBorders>
          </w:tcPr>
          <w:p>
            <w:pPr>
              <w:pStyle w:val="Normal"/>
              <w:spacing w:before="40" w:after="0"/>
              <w:jc w:val="start"/>
              <w:rPr/>
            </w:pPr>
            <w:r>
              <w:rPr/>
              <w:t>Exchange in Poland</w:t>
            </w:r>
          </w:p>
        </w:tc>
        <w:tc>
          <w:tcPr>
            <w:tcW w:w="4572" w:type="dxa"/>
            <w:tcBorders>
              <w:top w:val="threeDEmboss" w:sz="6" w:space="0" w:color="000000"/>
              <w:start w:val="threeDEmboss" w:sz="6" w:space="0" w:color="000000"/>
              <w:bottom w:val="threeDEmboss" w:sz="6" w:space="0" w:color="000000"/>
              <w:end w:val="threeDEmboss" w:sz="6" w:space="0" w:color="000000"/>
            </w:tcBorders>
            <w:vAlign w:val="center"/>
          </w:tcPr>
          <w:p>
            <w:pPr>
              <w:pStyle w:val="Normal"/>
              <w:spacing w:before="40" w:after="100"/>
              <w:jc w:val="start"/>
              <w:rPr/>
            </w:pPr>
            <w:r>
              <w:rPr/>
              <w:t>After one false start is restarting a plan to open a power pool in 2000.</w:t>
            </w:r>
          </w:p>
        </w:tc>
        <w:tc>
          <w:tcPr>
            <w:tcW w:w="2430" w:type="dxa"/>
            <w:tcBorders>
              <w:top w:val="threeDEmboss" w:sz="6" w:space="0" w:color="000000"/>
              <w:start w:val="threeDEmboss" w:sz="6" w:space="0" w:color="000000"/>
              <w:bottom w:val="threeDEmboss" w:sz="6" w:space="0" w:color="000000"/>
              <w:end w:val="threeDEmboss" w:sz="6" w:space="0" w:color="000000"/>
            </w:tcBorders>
          </w:tcPr>
          <w:p>
            <w:pPr>
              <w:pStyle w:val="Normal"/>
              <w:spacing w:before="40" w:after="0"/>
              <w:jc w:val="start"/>
              <w:rPr/>
            </w:pPr>
            <w:r>
              <w:rPr/>
              <w:t>N/A</w:t>
            </w:r>
          </w:p>
        </w:tc>
      </w:tr>
      <w:tr>
        <w:trPr/>
        <w:tc>
          <w:tcPr>
            <w:tcW w:w="1800" w:type="dxa"/>
            <w:tcBorders>
              <w:top w:val="threeDEmboss" w:sz="6" w:space="0" w:color="000000"/>
              <w:start w:val="threeDEmboss" w:sz="6" w:space="0" w:color="000000"/>
              <w:bottom w:val="threeDEmboss" w:sz="6" w:space="0" w:color="000000"/>
              <w:end w:val="threeDEmboss" w:sz="6" w:space="0" w:color="000000"/>
            </w:tcBorders>
          </w:tcPr>
          <w:p>
            <w:pPr>
              <w:pStyle w:val="Normal"/>
              <w:spacing w:before="40" w:after="0"/>
              <w:jc w:val="start"/>
              <w:rPr/>
            </w:pPr>
            <w:r>
              <w:rPr/>
              <w:t>Exchange in Italy</w:t>
            </w:r>
          </w:p>
        </w:tc>
        <w:tc>
          <w:tcPr>
            <w:tcW w:w="4572" w:type="dxa"/>
            <w:tcBorders>
              <w:top w:val="threeDEmboss" w:sz="6" w:space="0" w:color="000000"/>
              <w:start w:val="threeDEmboss" w:sz="6" w:space="0" w:color="000000"/>
              <w:bottom w:val="threeDEmboss" w:sz="6" w:space="0" w:color="000000"/>
              <w:end w:val="threeDEmboss" w:sz="6" w:space="0" w:color="000000"/>
            </w:tcBorders>
            <w:vAlign w:val="center"/>
          </w:tcPr>
          <w:p>
            <w:pPr>
              <w:pStyle w:val="Normal"/>
              <w:spacing w:before="40" w:after="0"/>
              <w:jc w:val="start"/>
              <w:rPr/>
            </w:pPr>
            <w:r>
              <w:rPr/>
              <w:t>Is considering a pool as part of its market deregulation plan, but is far from working out the details.</w:t>
            </w:r>
          </w:p>
        </w:tc>
        <w:tc>
          <w:tcPr>
            <w:tcW w:w="2430" w:type="dxa"/>
            <w:tcBorders>
              <w:top w:val="threeDEmboss" w:sz="6" w:space="0" w:color="000000"/>
              <w:start w:val="threeDEmboss" w:sz="6" w:space="0" w:color="000000"/>
              <w:bottom w:val="threeDEmboss" w:sz="6" w:space="0" w:color="000000"/>
              <w:end w:val="threeDEmboss" w:sz="6" w:space="0" w:color="000000"/>
            </w:tcBorders>
          </w:tcPr>
          <w:p>
            <w:pPr>
              <w:pStyle w:val="Normal"/>
              <w:spacing w:before="40" w:after="0"/>
              <w:jc w:val="start"/>
              <w:rPr/>
            </w:pPr>
            <w:r>
              <w:rPr/>
              <w:t>N/A</w:t>
            </w:r>
          </w:p>
        </w:tc>
      </w:tr>
    </w:tbl>
    <w:p>
      <w:pPr>
        <w:pStyle w:val="Normal"/>
        <w:rPr/>
      </w:pPr>
      <w:r>
        <w:rPr/>
        <w:t xml:space="preserve">Source: </w:t>
      </w:r>
      <w:r>
        <w:rPr>
          <w:i/>
        </w:rPr>
        <w:t>Global Energy Business</w:t>
      </w:r>
      <w:r>
        <w:rPr/>
        <w:t>, September/October 1999.</w:t>
      </w:r>
      <w:r>
        <w:br w:type="page"/>
      </w:r>
    </w:p>
    <w:p>
      <w:pPr>
        <w:pStyle w:val="Heading1"/>
        <w:rPr/>
      </w:pPr>
      <w:r>
        <w:rPr/>
        <w:t>Top 25 U.S. Power Marketer Rankings</w:t>
      </w:r>
      <w:r>
        <w:fldChar w:fldCharType="begin"/>
      </w:r>
      <w:r>
        <w:rPr/>
        <w:instrText xml:space="preserve"> TC "Top 25 U.S. Power Marketer Rankings" \l 2 </w:instrText>
      </w:r>
      <w:r>
        <w:rPr/>
        <w:fldChar w:fldCharType="separate"/>
      </w:r>
      <w:r>
        <w:rPr/>
      </w:r>
      <w:r>
        <w:rPr/>
        <w:fldChar w:fldCharType="end"/>
      </w:r>
      <w:bookmarkStart w:id="18" w:name="__RefHeading___Toc494713828"/>
      <w:bookmarkEnd w:id="18"/>
    </w:p>
    <w:p>
      <w:pPr>
        <w:pStyle w:val="Normal"/>
        <w:rPr/>
      </w:pPr>
      <w:r>
        <w:rPr/>
      </w:r>
    </w:p>
    <w:p>
      <w:pPr>
        <w:pStyle w:val="Heading2"/>
        <w:ind w:end="1296"/>
        <w:rPr/>
      </w:pPr>
      <w:r>
        <w:rPr/>
        <w:t>Third Quarter 1999</w:t>
      </w:r>
    </w:p>
    <w:p>
      <w:pPr>
        <w:pStyle w:val="Normal"/>
        <w:rPr/>
      </w:pPr>
      <w:r>
        <w:rPr/>
      </w:r>
    </w:p>
    <w:tbl>
      <w:tblPr>
        <w:tblW w:w="7200" w:type="dxa"/>
        <w:jc w:val="start"/>
        <w:tblInd w:w="0" w:type="dxa"/>
        <w:tblLayout w:type="fixed"/>
        <w:tblCellMar>
          <w:top w:w="0" w:type="dxa"/>
          <w:start w:w="0" w:type="dxa"/>
          <w:bottom w:w="0" w:type="dxa"/>
          <w:end w:w="0" w:type="dxa"/>
        </w:tblCellMar>
      </w:tblPr>
      <w:tblGrid>
        <w:gridCol w:w="540"/>
        <w:gridCol w:w="5130"/>
        <w:gridCol w:w="1530"/>
      </w:tblGrid>
      <w:tr>
        <w:trPr/>
        <w:tc>
          <w:tcPr>
            <w:tcW w:w="540" w:type="dxa"/>
            <w:tcBorders/>
            <w:shd w:fill="808080" w:val="clear"/>
          </w:tcPr>
          <w:p>
            <w:pPr>
              <w:pStyle w:val="Normal"/>
              <w:snapToGrid w:val="false"/>
              <w:spacing w:before="60" w:after="60"/>
              <w:jc w:val="center"/>
              <w:rPr/>
            </w:pPr>
            <w:r>
              <w:rPr/>
            </w:r>
          </w:p>
        </w:tc>
        <w:tc>
          <w:tcPr>
            <w:tcW w:w="5130" w:type="dxa"/>
            <w:tcBorders/>
            <w:shd w:fill="C0C0C0" w:val="clear"/>
            <w:vAlign w:val="center"/>
          </w:tcPr>
          <w:p>
            <w:pPr>
              <w:pStyle w:val="Normal"/>
              <w:spacing w:before="60" w:after="60"/>
              <w:rPr>
                <w:b/>
              </w:rPr>
            </w:pPr>
            <w:r>
              <w:rPr>
                <w:b/>
              </w:rPr>
              <w:t>Company</w:t>
            </w:r>
          </w:p>
        </w:tc>
        <w:tc>
          <w:tcPr>
            <w:tcW w:w="1530" w:type="dxa"/>
            <w:tcBorders/>
            <w:shd w:fill="C0C0C0" w:val="clear"/>
          </w:tcPr>
          <w:p>
            <w:pPr>
              <w:pStyle w:val="Normal"/>
              <w:spacing w:before="60" w:after="60"/>
              <w:rPr>
                <w:b/>
              </w:rPr>
            </w:pPr>
            <w:r>
              <w:rPr>
                <w:b/>
              </w:rPr>
              <w:t>Sales (MWH)</w:t>
            </w:r>
          </w:p>
        </w:tc>
      </w:tr>
      <w:tr>
        <w:trPr/>
        <w:tc>
          <w:tcPr>
            <w:tcW w:w="540" w:type="dxa"/>
            <w:tcBorders/>
            <w:shd w:fill="808080" w:val="clear"/>
            <w:tcMar>
              <w:start w:w="72" w:type="dxa"/>
              <w:end w:w="72" w:type="dxa"/>
            </w:tcMar>
          </w:tcPr>
          <w:p>
            <w:pPr>
              <w:pStyle w:val="Normal"/>
              <w:spacing w:before="60" w:after="60"/>
              <w:jc w:val="center"/>
              <w:rPr>
                <w:color w:val="FFFFFF"/>
              </w:rPr>
            </w:pPr>
            <w:r>
              <w:rPr>
                <w:color w:val="FFFFFF"/>
              </w:rPr>
              <w:t>1</w:t>
            </w:r>
          </w:p>
        </w:tc>
        <w:tc>
          <w:tcPr>
            <w:tcW w:w="5130" w:type="dxa"/>
            <w:tcBorders/>
            <w:tcMar>
              <w:start w:w="72" w:type="dxa"/>
              <w:end w:w="72" w:type="dxa"/>
            </w:tcMar>
          </w:tcPr>
          <w:p>
            <w:pPr>
              <w:pStyle w:val="Normal"/>
              <w:spacing w:before="60" w:after="60"/>
              <w:rPr/>
            </w:pPr>
            <w:r>
              <w:rPr/>
              <w:t xml:space="preserve">Enron Power Marketing Inc. </w:t>
            </w:r>
          </w:p>
        </w:tc>
        <w:tc>
          <w:tcPr>
            <w:tcW w:w="1530" w:type="dxa"/>
            <w:tcBorders/>
            <w:tcMar>
              <w:start w:w="72" w:type="dxa"/>
              <w:end w:w="72" w:type="dxa"/>
            </w:tcMar>
          </w:tcPr>
          <w:p>
            <w:pPr>
              <w:pStyle w:val="Normal"/>
              <w:spacing w:before="60" w:after="60"/>
              <w:jc w:val="end"/>
              <w:rPr/>
            </w:pPr>
            <w:r>
              <w:rPr/>
              <w:t xml:space="preserve">110,440,340 </w:t>
            </w:r>
          </w:p>
        </w:tc>
      </w:tr>
      <w:tr>
        <w:trPr/>
        <w:tc>
          <w:tcPr>
            <w:tcW w:w="540" w:type="dxa"/>
            <w:tcBorders/>
            <w:shd w:fill="808080" w:val="clear"/>
            <w:tcMar>
              <w:start w:w="72" w:type="dxa"/>
              <w:end w:w="72" w:type="dxa"/>
            </w:tcMar>
          </w:tcPr>
          <w:p>
            <w:pPr>
              <w:pStyle w:val="Normal"/>
              <w:spacing w:before="60" w:after="60"/>
              <w:jc w:val="center"/>
              <w:rPr>
                <w:color w:val="FFFFFF"/>
              </w:rPr>
            </w:pPr>
            <w:r>
              <w:rPr>
                <w:color w:val="FFFFFF"/>
              </w:rPr>
              <w:t>2</w:t>
            </w:r>
          </w:p>
        </w:tc>
        <w:tc>
          <w:tcPr>
            <w:tcW w:w="5130" w:type="dxa"/>
            <w:tcBorders/>
            <w:tcMar>
              <w:start w:w="72" w:type="dxa"/>
              <w:end w:w="72" w:type="dxa"/>
            </w:tcMar>
          </w:tcPr>
          <w:p>
            <w:pPr>
              <w:pStyle w:val="Normal"/>
              <w:spacing w:before="60" w:after="60"/>
              <w:rPr/>
            </w:pPr>
            <w:r>
              <w:rPr/>
              <w:t xml:space="preserve">AEP Power Marketing </w:t>
            </w:r>
          </w:p>
        </w:tc>
        <w:tc>
          <w:tcPr>
            <w:tcW w:w="1530" w:type="dxa"/>
            <w:tcBorders/>
            <w:tcMar>
              <w:start w:w="72" w:type="dxa"/>
              <w:end w:w="72" w:type="dxa"/>
            </w:tcMar>
          </w:tcPr>
          <w:p>
            <w:pPr>
              <w:pStyle w:val="Normal"/>
              <w:spacing w:before="60" w:after="60"/>
              <w:jc w:val="end"/>
              <w:rPr/>
            </w:pPr>
            <w:r>
              <w:rPr/>
              <w:t xml:space="preserve">90,130,597 </w:t>
            </w:r>
          </w:p>
        </w:tc>
      </w:tr>
      <w:tr>
        <w:trPr/>
        <w:tc>
          <w:tcPr>
            <w:tcW w:w="540" w:type="dxa"/>
            <w:tcBorders/>
            <w:shd w:fill="808080" w:val="clear"/>
            <w:tcMar>
              <w:start w:w="72" w:type="dxa"/>
              <w:end w:w="72" w:type="dxa"/>
            </w:tcMar>
          </w:tcPr>
          <w:p>
            <w:pPr>
              <w:pStyle w:val="Normal"/>
              <w:spacing w:before="60" w:after="60"/>
              <w:jc w:val="center"/>
              <w:rPr>
                <w:color w:val="FFFFFF"/>
              </w:rPr>
            </w:pPr>
            <w:r>
              <w:rPr>
                <w:color w:val="FFFFFF"/>
              </w:rPr>
              <w:t>3</w:t>
            </w:r>
          </w:p>
        </w:tc>
        <w:tc>
          <w:tcPr>
            <w:tcW w:w="5130" w:type="dxa"/>
            <w:tcBorders/>
            <w:tcMar>
              <w:start w:w="72" w:type="dxa"/>
              <w:end w:w="72" w:type="dxa"/>
            </w:tcMar>
          </w:tcPr>
          <w:p>
            <w:pPr>
              <w:pStyle w:val="Normal"/>
              <w:spacing w:before="60" w:after="60"/>
              <w:rPr/>
            </w:pPr>
            <w:r>
              <w:rPr/>
              <w:t xml:space="preserve">Aquila Energy Marketing Corp. </w:t>
            </w:r>
          </w:p>
        </w:tc>
        <w:tc>
          <w:tcPr>
            <w:tcW w:w="1530" w:type="dxa"/>
            <w:tcBorders/>
            <w:tcMar>
              <w:start w:w="72" w:type="dxa"/>
              <w:end w:w="72" w:type="dxa"/>
            </w:tcMar>
          </w:tcPr>
          <w:p>
            <w:pPr>
              <w:pStyle w:val="Normal"/>
              <w:spacing w:before="60" w:after="60"/>
              <w:jc w:val="end"/>
              <w:rPr/>
            </w:pPr>
            <w:r>
              <w:rPr/>
              <w:t xml:space="preserve">78,161,973 </w:t>
            </w:r>
          </w:p>
        </w:tc>
      </w:tr>
      <w:tr>
        <w:trPr/>
        <w:tc>
          <w:tcPr>
            <w:tcW w:w="540" w:type="dxa"/>
            <w:tcBorders/>
            <w:shd w:fill="808080" w:val="clear"/>
            <w:tcMar>
              <w:start w:w="72" w:type="dxa"/>
              <w:end w:w="72" w:type="dxa"/>
            </w:tcMar>
          </w:tcPr>
          <w:p>
            <w:pPr>
              <w:pStyle w:val="Normal"/>
              <w:spacing w:before="60" w:after="60"/>
              <w:jc w:val="center"/>
              <w:rPr>
                <w:color w:val="FFFFFF"/>
              </w:rPr>
            </w:pPr>
            <w:r>
              <w:rPr>
                <w:color w:val="FFFFFF"/>
              </w:rPr>
              <w:t>4</w:t>
            </w:r>
          </w:p>
        </w:tc>
        <w:tc>
          <w:tcPr>
            <w:tcW w:w="5130" w:type="dxa"/>
            <w:tcBorders/>
            <w:tcMar>
              <w:start w:w="72" w:type="dxa"/>
              <w:end w:w="72" w:type="dxa"/>
            </w:tcMar>
          </w:tcPr>
          <w:p>
            <w:pPr>
              <w:pStyle w:val="Normal"/>
              <w:spacing w:before="60" w:after="60"/>
              <w:rPr/>
            </w:pPr>
            <w:r>
              <w:rPr/>
              <w:t xml:space="preserve">Southern Company Energy Marketing LP </w:t>
            </w:r>
          </w:p>
        </w:tc>
        <w:tc>
          <w:tcPr>
            <w:tcW w:w="1530" w:type="dxa"/>
            <w:tcBorders/>
            <w:tcMar>
              <w:start w:w="72" w:type="dxa"/>
              <w:end w:w="72" w:type="dxa"/>
            </w:tcMar>
          </w:tcPr>
          <w:p>
            <w:pPr>
              <w:pStyle w:val="Normal"/>
              <w:spacing w:before="60" w:after="60"/>
              <w:jc w:val="end"/>
              <w:rPr/>
            </w:pPr>
            <w:r>
              <w:rPr/>
              <w:t xml:space="preserve">68,056,174 </w:t>
            </w:r>
          </w:p>
        </w:tc>
      </w:tr>
      <w:tr>
        <w:trPr/>
        <w:tc>
          <w:tcPr>
            <w:tcW w:w="540" w:type="dxa"/>
            <w:tcBorders/>
            <w:shd w:fill="808080" w:val="clear"/>
            <w:tcMar>
              <w:start w:w="72" w:type="dxa"/>
              <w:end w:w="72" w:type="dxa"/>
            </w:tcMar>
          </w:tcPr>
          <w:p>
            <w:pPr>
              <w:pStyle w:val="Normal"/>
              <w:spacing w:before="60" w:after="60"/>
              <w:jc w:val="center"/>
              <w:rPr>
                <w:color w:val="FFFFFF"/>
              </w:rPr>
            </w:pPr>
            <w:r>
              <w:rPr>
                <w:color w:val="FFFFFF"/>
              </w:rPr>
              <w:t>5</w:t>
            </w:r>
          </w:p>
        </w:tc>
        <w:tc>
          <w:tcPr>
            <w:tcW w:w="5130" w:type="dxa"/>
            <w:tcBorders/>
            <w:tcMar>
              <w:start w:w="72" w:type="dxa"/>
              <w:end w:w="72" w:type="dxa"/>
            </w:tcMar>
          </w:tcPr>
          <w:p>
            <w:pPr>
              <w:pStyle w:val="Normal"/>
              <w:spacing w:before="60" w:after="60"/>
              <w:rPr/>
            </w:pPr>
            <w:r>
              <w:rPr/>
              <w:t xml:space="preserve">PG&amp;E Energy Trading Power </w:t>
            </w:r>
          </w:p>
        </w:tc>
        <w:tc>
          <w:tcPr>
            <w:tcW w:w="1530" w:type="dxa"/>
            <w:tcBorders/>
            <w:tcMar>
              <w:start w:w="72" w:type="dxa"/>
              <w:end w:w="72" w:type="dxa"/>
            </w:tcMar>
          </w:tcPr>
          <w:p>
            <w:pPr>
              <w:pStyle w:val="Normal"/>
              <w:spacing w:before="60" w:after="60"/>
              <w:jc w:val="end"/>
              <w:rPr/>
            </w:pPr>
            <w:r>
              <w:rPr/>
              <w:t xml:space="preserve">60,668,105 </w:t>
            </w:r>
          </w:p>
        </w:tc>
      </w:tr>
      <w:tr>
        <w:trPr/>
        <w:tc>
          <w:tcPr>
            <w:tcW w:w="540" w:type="dxa"/>
            <w:tcBorders/>
            <w:shd w:fill="808080" w:val="clear"/>
            <w:tcMar>
              <w:start w:w="72" w:type="dxa"/>
              <w:end w:w="72" w:type="dxa"/>
            </w:tcMar>
          </w:tcPr>
          <w:p>
            <w:pPr>
              <w:pStyle w:val="Normal"/>
              <w:spacing w:before="60" w:after="60"/>
              <w:jc w:val="center"/>
              <w:rPr>
                <w:color w:val="FFFFFF"/>
              </w:rPr>
            </w:pPr>
            <w:r>
              <w:rPr>
                <w:color w:val="FFFFFF"/>
              </w:rPr>
              <w:t>6</w:t>
            </w:r>
          </w:p>
        </w:tc>
        <w:tc>
          <w:tcPr>
            <w:tcW w:w="5130" w:type="dxa"/>
            <w:tcBorders/>
            <w:tcMar>
              <w:start w:w="72" w:type="dxa"/>
              <w:end w:w="72" w:type="dxa"/>
            </w:tcMar>
          </w:tcPr>
          <w:p>
            <w:pPr>
              <w:pStyle w:val="Normal"/>
              <w:spacing w:before="60" w:after="60"/>
              <w:rPr/>
            </w:pPr>
            <w:r>
              <w:rPr/>
              <w:t xml:space="preserve">Avista Energy, Inc. </w:t>
            </w:r>
          </w:p>
        </w:tc>
        <w:tc>
          <w:tcPr>
            <w:tcW w:w="1530" w:type="dxa"/>
            <w:tcBorders/>
            <w:tcMar>
              <w:start w:w="72" w:type="dxa"/>
              <w:end w:w="72" w:type="dxa"/>
            </w:tcMar>
          </w:tcPr>
          <w:p>
            <w:pPr>
              <w:pStyle w:val="Normal"/>
              <w:spacing w:before="60" w:after="60"/>
              <w:jc w:val="end"/>
              <w:rPr/>
            </w:pPr>
            <w:r>
              <w:rPr/>
              <w:t xml:space="preserve">60,391,779 </w:t>
            </w:r>
          </w:p>
        </w:tc>
      </w:tr>
      <w:tr>
        <w:trPr/>
        <w:tc>
          <w:tcPr>
            <w:tcW w:w="540" w:type="dxa"/>
            <w:tcBorders/>
            <w:shd w:fill="808080" w:val="clear"/>
            <w:tcMar>
              <w:start w:w="72" w:type="dxa"/>
              <w:end w:w="72" w:type="dxa"/>
            </w:tcMar>
          </w:tcPr>
          <w:p>
            <w:pPr>
              <w:pStyle w:val="Normal"/>
              <w:spacing w:before="60" w:after="60"/>
              <w:jc w:val="center"/>
              <w:rPr>
                <w:color w:val="FFFFFF"/>
              </w:rPr>
            </w:pPr>
            <w:r>
              <w:rPr>
                <w:color w:val="FFFFFF"/>
              </w:rPr>
              <w:t>7</w:t>
            </w:r>
          </w:p>
        </w:tc>
        <w:tc>
          <w:tcPr>
            <w:tcW w:w="5130" w:type="dxa"/>
            <w:tcBorders/>
            <w:tcMar>
              <w:start w:w="72" w:type="dxa"/>
              <w:end w:w="72" w:type="dxa"/>
            </w:tcMar>
          </w:tcPr>
          <w:p>
            <w:pPr>
              <w:pStyle w:val="Normal"/>
              <w:spacing w:before="60" w:after="60"/>
              <w:rPr/>
            </w:pPr>
            <w:r>
              <w:rPr/>
              <w:t xml:space="preserve">Reliant Energy Services, Inc. </w:t>
            </w:r>
          </w:p>
        </w:tc>
        <w:tc>
          <w:tcPr>
            <w:tcW w:w="1530" w:type="dxa"/>
            <w:tcBorders/>
            <w:tcMar>
              <w:start w:w="72" w:type="dxa"/>
              <w:end w:w="72" w:type="dxa"/>
            </w:tcMar>
          </w:tcPr>
          <w:p>
            <w:pPr>
              <w:pStyle w:val="Normal"/>
              <w:spacing w:before="60" w:after="60"/>
              <w:jc w:val="end"/>
              <w:rPr/>
            </w:pPr>
            <w:r>
              <w:rPr/>
              <w:t xml:space="preserve">40,073,868 </w:t>
            </w:r>
          </w:p>
        </w:tc>
      </w:tr>
      <w:tr>
        <w:trPr/>
        <w:tc>
          <w:tcPr>
            <w:tcW w:w="540" w:type="dxa"/>
            <w:tcBorders/>
            <w:shd w:fill="808080" w:val="clear"/>
            <w:tcMar>
              <w:start w:w="72" w:type="dxa"/>
              <w:end w:w="72" w:type="dxa"/>
            </w:tcMar>
          </w:tcPr>
          <w:p>
            <w:pPr>
              <w:pStyle w:val="Normal"/>
              <w:spacing w:before="60" w:after="60"/>
              <w:jc w:val="center"/>
              <w:rPr>
                <w:color w:val="FFFFFF"/>
              </w:rPr>
            </w:pPr>
            <w:r>
              <w:rPr>
                <w:color w:val="FFFFFF"/>
              </w:rPr>
              <w:t>8</w:t>
            </w:r>
          </w:p>
        </w:tc>
        <w:tc>
          <w:tcPr>
            <w:tcW w:w="5130" w:type="dxa"/>
            <w:tcBorders/>
            <w:tcMar>
              <w:start w:w="72" w:type="dxa"/>
              <w:end w:w="72" w:type="dxa"/>
            </w:tcMar>
          </w:tcPr>
          <w:p>
            <w:pPr>
              <w:pStyle w:val="Normal"/>
              <w:spacing w:before="60" w:after="60"/>
              <w:rPr/>
            </w:pPr>
            <w:r>
              <w:rPr/>
              <w:t xml:space="preserve">Duke Energy Trading &amp; Marketing, LLC </w:t>
            </w:r>
          </w:p>
        </w:tc>
        <w:tc>
          <w:tcPr>
            <w:tcW w:w="1530" w:type="dxa"/>
            <w:tcBorders/>
            <w:tcMar>
              <w:start w:w="72" w:type="dxa"/>
              <w:end w:w="72" w:type="dxa"/>
            </w:tcMar>
          </w:tcPr>
          <w:p>
            <w:pPr>
              <w:pStyle w:val="Normal"/>
              <w:spacing w:before="60" w:after="60"/>
              <w:jc w:val="end"/>
              <w:rPr/>
            </w:pPr>
            <w:r>
              <w:rPr/>
              <w:t xml:space="preserve">33,629,759 </w:t>
            </w:r>
          </w:p>
        </w:tc>
      </w:tr>
      <w:tr>
        <w:trPr/>
        <w:tc>
          <w:tcPr>
            <w:tcW w:w="540" w:type="dxa"/>
            <w:tcBorders/>
            <w:shd w:fill="808080" w:val="clear"/>
            <w:tcMar>
              <w:start w:w="72" w:type="dxa"/>
              <w:end w:w="72" w:type="dxa"/>
            </w:tcMar>
          </w:tcPr>
          <w:p>
            <w:pPr>
              <w:pStyle w:val="Normal"/>
              <w:spacing w:before="60" w:after="60"/>
              <w:jc w:val="center"/>
              <w:rPr>
                <w:color w:val="FFFFFF"/>
              </w:rPr>
            </w:pPr>
            <w:r>
              <w:rPr>
                <w:color w:val="FFFFFF"/>
              </w:rPr>
              <w:t>9</w:t>
            </w:r>
          </w:p>
        </w:tc>
        <w:tc>
          <w:tcPr>
            <w:tcW w:w="5130" w:type="dxa"/>
            <w:tcBorders/>
            <w:tcMar>
              <w:start w:w="72" w:type="dxa"/>
              <w:end w:w="72" w:type="dxa"/>
            </w:tcMar>
          </w:tcPr>
          <w:p>
            <w:pPr>
              <w:pStyle w:val="Normal"/>
              <w:spacing w:before="60" w:after="60"/>
              <w:rPr/>
            </w:pPr>
            <w:r>
              <w:rPr/>
              <w:t xml:space="preserve">Tractebel Energy Marketing </w:t>
            </w:r>
          </w:p>
        </w:tc>
        <w:tc>
          <w:tcPr>
            <w:tcW w:w="1530" w:type="dxa"/>
            <w:tcBorders/>
            <w:tcMar>
              <w:start w:w="72" w:type="dxa"/>
              <w:end w:w="72" w:type="dxa"/>
            </w:tcMar>
          </w:tcPr>
          <w:p>
            <w:pPr>
              <w:pStyle w:val="Normal"/>
              <w:spacing w:before="60" w:after="60"/>
              <w:jc w:val="end"/>
              <w:rPr/>
            </w:pPr>
            <w:r>
              <w:rPr/>
              <w:t xml:space="preserve">22,503,624 </w:t>
            </w:r>
          </w:p>
        </w:tc>
      </w:tr>
      <w:tr>
        <w:trPr/>
        <w:tc>
          <w:tcPr>
            <w:tcW w:w="540" w:type="dxa"/>
            <w:tcBorders/>
            <w:shd w:fill="808080" w:val="clear"/>
            <w:tcMar>
              <w:start w:w="72" w:type="dxa"/>
              <w:end w:w="72" w:type="dxa"/>
            </w:tcMar>
          </w:tcPr>
          <w:p>
            <w:pPr>
              <w:pStyle w:val="Normal"/>
              <w:spacing w:before="60" w:after="60"/>
              <w:jc w:val="center"/>
              <w:rPr>
                <w:color w:val="FFFFFF"/>
              </w:rPr>
            </w:pPr>
            <w:r>
              <w:rPr>
                <w:color w:val="FFFFFF"/>
              </w:rPr>
              <w:t>10</w:t>
            </w:r>
          </w:p>
        </w:tc>
        <w:tc>
          <w:tcPr>
            <w:tcW w:w="5130" w:type="dxa"/>
            <w:tcBorders/>
            <w:tcMar>
              <w:start w:w="72" w:type="dxa"/>
              <w:end w:w="72" w:type="dxa"/>
            </w:tcMar>
          </w:tcPr>
          <w:p>
            <w:pPr>
              <w:pStyle w:val="Normal"/>
              <w:spacing w:before="60" w:after="60"/>
              <w:rPr/>
            </w:pPr>
            <w:r>
              <w:rPr/>
              <w:t xml:space="preserve">El Paso Power Services Co. </w:t>
            </w:r>
          </w:p>
        </w:tc>
        <w:tc>
          <w:tcPr>
            <w:tcW w:w="1530" w:type="dxa"/>
            <w:tcBorders/>
            <w:tcMar>
              <w:start w:w="72" w:type="dxa"/>
              <w:end w:w="72" w:type="dxa"/>
            </w:tcMar>
          </w:tcPr>
          <w:p>
            <w:pPr>
              <w:pStyle w:val="Normal"/>
              <w:spacing w:before="60" w:after="60"/>
              <w:jc w:val="end"/>
              <w:rPr/>
            </w:pPr>
            <w:r>
              <w:rPr/>
              <w:t xml:space="preserve">21,018,103 </w:t>
            </w:r>
          </w:p>
        </w:tc>
      </w:tr>
      <w:tr>
        <w:trPr/>
        <w:tc>
          <w:tcPr>
            <w:tcW w:w="540" w:type="dxa"/>
            <w:tcBorders/>
            <w:shd w:fill="808080" w:val="clear"/>
            <w:tcMar>
              <w:start w:w="72" w:type="dxa"/>
              <w:end w:w="72" w:type="dxa"/>
            </w:tcMar>
          </w:tcPr>
          <w:p>
            <w:pPr>
              <w:pStyle w:val="Normal"/>
              <w:spacing w:before="60" w:after="60"/>
              <w:jc w:val="center"/>
              <w:rPr>
                <w:color w:val="FFFFFF"/>
              </w:rPr>
            </w:pPr>
            <w:r>
              <w:rPr>
                <w:color w:val="FFFFFF"/>
              </w:rPr>
              <w:t>11</w:t>
            </w:r>
          </w:p>
        </w:tc>
        <w:tc>
          <w:tcPr>
            <w:tcW w:w="5130" w:type="dxa"/>
            <w:tcBorders/>
            <w:tcMar>
              <w:start w:w="72" w:type="dxa"/>
              <w:end w:w="72" w:type="dxa"/>
            </w:tcMar>
          </w:tcPr>
          <w:p>
            <w:pPr>
              <w:pStyle w:val="Normal"/>
              <w:spacing w:before="60" w:after="60"/>
              <w:rPr/>
            </w:pPr>
            <w:r>
              <w:rPr/>
              <w:t xml:space="preserve">Constellation Power Source </w:t>
            </w:r>
          </w:p>
        </w:tc>
        <w:tc>
          <w:tcPr>
            <w:tcW w:w="1530" w:type="dxa"/>
            <w:tcBorders/>
            <w:tcMar>
              <w:start w:w="72" w:type="dxa"/>
              <w:end w:w="72" w:type="dxa"/>
            </w:tcMar>
          </w:tcPr>
          <w:p>
            <w:pPr>
              <w:pStyle w:val="Normal"/>
              <w:spacing w:before="60" w:after="60"/>
              <w:jc w:val="end"/>
              <w:rPr/>
            </w:pPr>
            <w:r>
              <w:rPr/>
              <w:t xml:space="preserve">20,687,329 </w:t>
            </w:r>
          </w:p>
        </w:tc>
      </w:tr>
      <w:tr>
        <w:trPr/>
        <w:tc>
          <w:tcPr>
            <w:tcW w:w="540" w:type="dxa"/>
            <w:tcBorders/>
            <w:shd w:fill="808080" w:val="clear"/>
            <w:tcMar>
              <w:start w:w="72" w:type="dxa"/>
              <w:end w:w="72" w:type="dxa"/>
            </w:tcMar>
          </w:tcPr>
          <w:p>
            <w:pPr>
              <w:pStyle w:val="Normal"/>
              <w:spacing w:before="60" w:after="60"/>
              <w:jc w:val="center"/>
              <w:rPr>
                <w:color w:val="FFFFFF"/>
              </w:rPr>
            </w:pPr>
            <w:r>
              <w:rPr>
                <w:color w:val="FFFFFF"/>
              </w:rPr>
              <w:t>12</w:t>
            </w:r>
          </w:p>
        </w:tc>
        <w:tc>
          <w:tcPr>
            <w:tcW w:w="5130" w:type="dxa"/>
            <w:tcBorders/>
            <w:tcMar>
              <w:start w:w="72" w:type="dxa"/>
              <w:end w:w="72" w:type="dxa"/>
            </w:tcMar>
          </w:tcPr>
          <w:p>
            <w:pPr>
              <w:pStyle w:val="Normal"/>
              <w:spacing w:before="60" w:after="60"/>
              <w:rPr/>
            </w:pPr>
            <w:r>
              <w:rPr/>
              <w:t xml:space="preserve">Koch Energy Trading, Inc. </w:t>
            </w:r>
          </w:p>
        </w:tc>
        <w:tc>
          <w:tcPr>
            <w:tcW w:w="1530" w:type="dxa"/>
            <w:tcBorders/>
            <w:tcMar>
              <w:start w:w="72" w:type="dxa"/>
              <w:end w:w="72" w:type="dxa"/>
            </w:tcMar>
          </w:tcPr>
          <w:p>
            <w:pPr>
              <w:pStyle w:val="Normal"/>
              <w:spacing w:before="60" w:after="60"/>
              <w:jc w:val="end"/>
              <w:rPr/>
            </w:pPr>
            <w:r>
              <w:rPr/>
              <w:t xml:space="preserve">11,803,619 </w:t>
            </w:r>
          </w:p>
        </w:tc>
      </w:tr>
      <w:tr>
        <w:trPr/>
        <w:tc>
          <w:tcPr>
            <w:tcW w:w="540" w:type="dxa"/>
            <w:tcBorders/>
            <w:shd w:fill="808080" w:val="clear"/>
            <w:tcMar>
              <w:start w:w="72" w:type="dxa"/>
              <w:end w:w="72" w:type="dxa"/>
            </w:tcMar>
          </w:tcPr>
          <w:p>
            <w:pPr>
              <w:pStyle w:val="Normal"/>
              <w:spacing w:before="60" w:after="60"/>
              <w:jc w:val="center"/>
              <w:rPr>
                <w:color w:val="FFFFFF"/>
              </w:rPr>
            </w:pPr>
            <w:r>
              <w:rPr>
                <w:color w:val="FFFFFF"/>
              </w:rPr>
              <w:t>13</w:t>
            </w:r>
          </w:p>
        </w:tc>
        <w:tc>
          <w:tcPr>
            <w:tcW w:w="5130" w:type="dxa"/>
            <w:tcBorders/>
            <w:tcMar>
              <w:start w:w="72" w:type="dxa"/>
              <w:end w:w="72" w:type="dxa"/>
            </w:tcMar>
          </w:tcPr>
          <w:p>
            <w:pPr>
              <w:pStyle w:val="Normal"/>
              <w:spacing w:before="60" w:after="60"/>
              <w:rPr/>
            </w:pPr>
            <w:r>
              <w:rPr/>
              <w:t xml:space="preserve">Entergy Power Marketing Corp. </w:t>
            </w:r>
          </w:p>
        </w:tc>
        <w:tc>
          <w:tcPr>
            <w:tcW w:w="1530" w:type="dxa"/>
            <w:tcBorders/>
            <w:tcMar>
              <w:start w:w="72" w:type="dxa"/>
              <w:end w:w="72" w:type="dxa"/>
            </w:tcMar>
          </w:tcPr>
          <w:p>
            <w:pPr>
              <w:pStyle w:val="Normal"/>
              <w:spacing w:before="60" w:after="60"/>
              <w:jc w:val="end"/>
              <w:rPr/>
            </w:pPr>
            <w:r>
              <w:rPr/>
              <w:t xml:space="preserve">9,814,424 </w:t>
            </w:r>
          </w:p>
        </w:tc>
      </w:tr>
      <w:tr>
        <w:trPr/>
        <w:tc>
          <w:tcPr>
            <w:tcW w:w="540" w:type="dxa"/>
            <w:tcBorders/>
            <w:shd w:fill="808080" w:val="clear"/>
            <w:tcMar>
              <w:start w:w="72" w:type="dxa"/>
              <w:end w:w="72" w:type="dxa"/>
            </w:tcMar>
          </w:tcPr>
          <w:p>
            <w:pPr>
              <w:pStyle w:val="Normal"/>
              <w:spacing w:before="60" w:after="60"/>
              <w:jc w:val="center"/>
              <w:rPr>
                <w:color w:val="FFFFFF"/>
              </w:rPr>
            </w:pPr>
            <w:r>
              <w:rPr>
                <w:color w:val="FFFFFF"/>
              </w:rPr>
              <w:t>14</w:t>
            </w:r>
          </w:p>
        </w:tc>
        <w:tc>
          <w:tcPr>
            <w:tcW w:w="5130" w:type="dxa"/>
            <w:tcBorders/>
            <w:tcMar>
              <w:start w:w="72" w:type="dxa"/>
              <w:end w:w="72" w:type="dxa"/>
            </w:tcMar>
          </w:tcPr>
          <w:p>
            <w:pPr>
              <w:pStyle w:val="Normal"/>
              <w:spacing w:before="60" w:after="60"/>
              <w:rPr/>
            </w:pPr>
            <w:r>
              <w:rPr/>
              <w:t xml:space="preserve">Merchant Energy Group of the Americas </w:t>
            </w:r>
          </w:p>
        </w:tc>
        <w:tc>
          <w:tcPr>
            <w:tcW w:w="1530" w:type="dxa"/>
            <w:tcBorders/>
            <w:tcMar>
              <w:start w:w="72" w:type="dxa"/>
              <w:end w:w="72" w:type="dxa"/>
            </w:tcMar>
          </w:tcPr>
          <w:p>
            <w:pPr>
              <w:pStyle w:val="Normal"/>
              <w:spacing w:before="60" w:after="60"/>
              <w:jc w:val="end"/>
              <w:rPr/>
            </w:pPr>
            <w:r>
              <w:rPr/>
              <w:t xml:space="preserve">9,742,687 </w:t>
            </w:r>
          </w:p>
        </w:tc>
      </w:tr>
      <w:tr>
        <w:trPr/>
        <w:tc>
          <w:tcPr>
            <w:tcW w:w="540" w:type="dxa"/>
            <w:tcBorders/>
            <w:shd w:fill="808080" w:val="clear"/>
            <w:tcMar>
              <w:start w:w="72" w:type="dxa"/>
              <w:end w:w="72" w:type="dxa"/>
            </w:tcMar>
          </w:tcPr>
          <w:p>
            <w:pPr>
              <w:pStyle w:val="Normal"/>
              <w:spacing w:before="60" w:after="60"/>
              <w:jc w:val="center"/>
              <w:rPr>
                <w:color w:val="FFFFFF"/>
              </w:rPr>
            </w:pPr>
            <w:r>
              <w:rPr>
                <w:color w:val="FFFFFF"/>
              </w:rPr>
              <w:t>15</w:t>
            </w:r>
          </w:p>
        </w:tc>
        <w:tc>
          <w:tcPr>
            <w:tcW w:w="5130" w:type="dxa"/>
            <w:tcBorders/>
            <w:tcMar>
              <w:start w:w="72" w:type="dxa"/>
              <w:end w:w="72" w:type="dxa"/>
            </w:tcMar>
          </w:tcPr>
          <w:p>
            <w:pPr>
              <w:pStyle w:val="Normal"/>
              <w:spacing w:before="60" w:after="60"/>
              <w:rPr/>
            </w:pPr>
            <w:r>
              <w:rPr/>
              <w:t xml:space="preserve">Dynegy Power Marketing Inc. </w:t>
            </w:r>
          </w:p>
        </w:tc>
        <w:tc>
          <w:tcPr>
            <w:tcW w:w="1530" w:type="dxa"/>
            <w:tcBorders/>
            <w:tcMar>
              <w:start w:w="72" w:type="dxa"/>
              <w:end w:w="72" w:type="dxa"/>
            </w:tcMar>
          </w:tcPr>
          <w:p>
            <w:pPr>
              <w:pStyle w:val="Normal"/>
              <w:spacing w:before="60" w:after="60"/>
              <w:jc w:val="end"/>
              <w:rPr/>
            </w:pPr>
            <w:r>
              <w:rPr/>
              <w:t xml:space="preserve">8,607,477 </w:t>
            </w:r>
          </w:p>
        </w:tc>
      </w:tr>
      <w:tr>
        <w:trPr/>
        <w:tc>
          <w:tcPr>
            <w:tcW w:w="540" w:type="dxa"/>
            <w:tcBorders/>
            <w:shd w:fill="808080" w:val="clear"/>
            <w:tcMar>
              <w:start w:w="72" w:type="dxa"/>
              <w:end w:w="72" w:type="dxa"/>
            </w:tcMar>
          </w:tcPr>
          <w:p>
            <w:pPr>
              <w:pStyle w:val="Normal"/>
              <w:spacing w:before="60" w:after="60"/>
              <w:jc w:val="center"/>
              <w:rPr>
                <w:color w:val="FFFFFF"/>
              </w:rPr>
            </w:pPr>
            <w:r>
              <w:rPr>
                <w:color w:val="FFFFFF"/>
              </w:rPr>
              <w:t>16</w:t>
            </w:r>
          </w:p>
        </w:tc>
        <w:tc>
          <w:tcPr>
            <w:tcW w:w="5130" w:type="dxa"/>
            <w:tcBorders/>
            <w:tcMar>
              <w:start w:w="72" w:type="dxa"/>
              <w:end w:w="72" w:type="dxa"/>
            </w:tcMar>
          </w:tcPr>
          <w:p>
            <w:pPr>
              <w:pStyle w:val="Normal"/>
              <w:spacing w:before="60" w:after="60"/>
              <w:rPr/>
            </w:pPr>
            <w:r>
              <w:rPr/>
              <w:t xml:space="preserve">Edison Mission Marketing &amp; Trading, Inc. </w:t>
            </w:r>
          </w:p>
        </w:tc>
        <w:tc>
          <w:tcPr>
            <w:tcW w:w="1530" w:type="dxa"/>
            <w:tcBorders/>
            <w:tcMar>
              <w:start w:w="72" w:type="dxa"/>
              <w:end w:w="72" w:type="dxa"/>
            </w:tcMar>
          </w:tcPr>
          <w:p>
            <w:pPr>
              <w:pStyle w:val="Normal"/>
              <w:spacing w:before="60" w:after="60"/>
              <w:jc w:val="end"/>
              <w:rPr/>
            </w:pPr>
            <w:r>
              <w:rPr/>
              <w:t xml:space="preserve">8,366,807 </w:t>
            </w:r>
          </w:p>
        </w:tc>
      </w:tr>
      <w:tr>
        <w:trPr/>
        <w:tc>
          <w:tcPr>
            <w:tcW w:w="540" w:type="dxa"/>
            <w:tcBorders/>
            <w:shd w:fill="808080" w:val="clear"/>
            <w:tcMar>
              <w:start w:w="72" w:type="dxa"/>
              <w:end w:w="72" w:type="dxa"/>
            </w:tcMar>
          </w:tcPr>
          <w:p>
            <w:pPr>
              <w:pStyle w:val="Normal"/>
              <w:spacing w:before="60" w:after="60"/>
              <w:jc w:val="center"/>
              <w:rPr>
                <w:color w:val="FFFFFF"/>
              </w:rPr>
            </w:pPr>
            <w:r>
              <w:rPr>
                <w:color w:val="FFFFFF"/>
              </w:rPr>
              <w:t>17</w:t>
            </w:r>
          </w:p>
        </w:tc>
        <w:tc>
          <w:tcPr>
            <w:tcW w:w="5130" w:type="dxa"/>
            <w:tcBorders/>
            <w:tcMar>
              <w:start w:w="72" w:type="dxa"/>
              <w:end w:w="72" w:type="dxa"/>
            </w:tcMar>
          </w:tcPr>
          <w:p>
            <w:pPr>
              <w:pStyle w:val="Normal"/>
              <w:spacing w:before="60" w:after="60"/>
              <w:rPr/>
            </w:pPr>
            <w:r>
              <w:rPr/>
              <w:t xml:space="preserve">LG&amp;E Energy Marketing Inc. </w:t>
            </w:r>
          </w:p>
        </w:tc>
        <w:tc>
          <w:tcPr>
            <w:tcW w:w="1530" w:type="dxa"/>
            <w:tcBorders/>
            <w:tcMar>
              <w:start w:w="72" w:type="dxa"/>
              <w:end w:w="72" w:type="dxa"/>
            </w:tcMar>
          </w:tcPr>
          <w:p>
            <w:pPr>
              <w:pStyle w:val="Normal"/>
              <w:spacing w:before="60" w:after="60"/>
              <w:jc w:val="end"/>
              <w:rPr/>
            </w:pPr>
            <w:r>
              <w:rPr/>
              <w:t xml:space="preserve">8,256,370 </w:t>
            </w:r>
          </w:p>
        </w:tc>
      </w:tr>
      <w:tr>
        <w:trPr/>
        <w:tc>
          <w:tcPr>
            <w:tcW w:w="540" w:type="dxa"/>
            <w:tcBorders/>
            <w:shd w:fill="808080" w:val="clear"/>
            <w:tcMar>
              <w:start w:w="72" w:type="dxa"/>
              <w:end w:w="72" w:type="dxa"/>
            </w:tcMar>
          </w:tcPr>
          <w:p>
            <w:pPr>
              <w:pStyle w:val="Normal"/>
              <w:spacing w:before="60" w:after="60"/>
              <w:jc w:val="center"/>
              <w:rPr>
                <w:color w:val="FFFFFF"/>
              </w:rPr>
            </w:pPr>
            <w:r>
              <w:rPr>
                <w:color w:val="FFFFFF"/>
              </w:rPr>
              <w:t>18</w:t>
            </w:r>
          </w:p>
        </w:tc>
        <w:tc>
          <w:tcPr>
            <w:tcW w:w="5130" w:type="dxa"/>
            <w:tcBorders/>
            <w:tcMar>
              <w:start w:w="72" w:type="dxa"/>
              <w:end w:w="72" w:type="dxa"/>
            </w:tcMar>
          </w:tcPr>
          <w:p>
            <w:pPr>
              <w:pStyle w:val="Normal"/>
              <w:spacing w:before="60" w:after="60"/>
              <w:rPr/>
            </w:pPr>
            <w:r>
              <w:rPr/>
              <w:t xml:space="preserve">Williams Energy Marketing &amp; Trading </w:t>
            </w:r>
          </w:p>
        </w:tc>
        <w:tc>
          <w:tcPr>
            <w:tcW w:w="1530" w:type="dxa"/>
            <w:tcBorders/>
            <w:tcMar>
              <w:start w:w="72" w:type="dxa"/>
              <w:end w:w="72" w:type="dxa"/>
            </w:tcMar>
          </w:tcPr>
          <w:p>
            <w:pPr>
              <w:pStyle w:val="Normal"/>
              <w:spacing w:before="60" w:after="60"/>
              <w:jc w:val="end"/>
              <w:rPr/>
            </w:pPr>
            <w:r>
              <w:rPr/>
              <w:t xml:space="preserve">7,644,657 </w:t>
            </w:r>
          </w:p>
        </w:tc>
      </w:tr>
      <w:tr>
        <w:trPr/>
        <w:tc>
          <w:tcPr>
            <w:tcW w:w="540" w:type="dxa"/>
            <w:tcBorders/>
            <w:shd w:fill="808080" w:val="clear"/>
            <w:tcMar>
              <w:start w:w="72" w:type="dxa"/>
              <w:end w:w="72" w:type="dxa"/>
            </w:tcMar>
          </w:tcPr>
          <w:p>
            <w:pPr>
              <w:pStyle w:val="Normal"/>
              <w:spacing w:before="60" w:after="60"/>
              <w:jc w:val="center"/>
              <w:rPr>
                <w:color w:val="FFFFFF"/>
              </w:rPr>
            </w:pPr>
            <w:r>
              <w:rPr>
                <w:color w:val="FFFFFF"/>
              </w:rPr>
              <w:t>19</w:t>
            </w:r>
          </w:p>
        </w:tc>
        <w:tc>
          <w:tcPr>
            <w:tcW w:w="5130" w:type="dxa"/>
            <w:tcBorders/>
            <w:tcMar>
              <w:start w:w="72" w:type="dxa"/>
              <w:end w:w="72" w:type="dxa"/>
            </w:tcMar>
          </w:tcPr>
          <w:p>
            <w:pPr>
              <w:pStyle w:val="Normal"/>
              <w:spacing w:before="60" w:after="60"/>
              <w:rPr/>
            </w:pPr>
            <w:r>
              <w:rPr/>
              <w:t xml:space="preserve">Columbia Energy Power Marketing Corp. </w:t>
            </w:r>
          </w:p>
        </w:tc>
        <w:tc>
          <w:tcPr>
            <w:tcW w:w="1530" w:type="dxa"/>
            <w:tcBorders/>
            <w:tcMar>
              <w:start w:w="72" w:type="dxa"/>
              <w:end w:w="72" w:type="dxa"/>
            </w:tcMar>
          </w:tcPr>
          <w:p>
            <w:pPr>
              <w:pStyle w:val="Normal"/>
              <w:spacing w:before="60" w:after="60"/>
              <w:jc w:val="end"/>
              <w:rPr/>
            </w:pPr>
            <w:r>
              <w:rPr/>
              <w:t xml:space="preserve">6,243,044 </w:t>
            </w:r>
          </w:p>
        </w:tc>
      </w:tr>
      <w:tr>
        <w:trPr/>
        <w:tc>
          <w:tcPr>
            <w:tcW w:w="540" w:type="dxa"/>
            <w:tcBorders/>
            <w:shd w:fill="808080" w:val="clear"/>
            <w:tcMar>
              <w:start w:w="72" w:type="dxa"/>
              <w:end w:w="72" w:type="dxa"/>
            </w:tcMar>
          </w:tcPr>
          <w:p>
            <w:pPr>
              <w:pStyle w:val="Normal"/>
              <w:spacing w:before="60" w:after="60"/>
              <w:jc w:val="center"/>
              <w:rPr>
                <w:color w:val="FFFFFF"/>
              </w:rPr>
            </w:pPr>
            <w:r>
              <w:rPr>
                <w:color w:val="FFFFFF"/>
              </w:rPr>
              <w:t>20</w:t>
            </w:r>
          </w:p>
        </w:tc>
        <w:tc>
          <w:tcPr>
            <w:tcW w:w="5130" w:type="dxa"/>
            <w:tcBorders/>
            <w:tcMar>
              <w:start w:w="72" w:type="dxa"/>
              <w:end w:w="72" w:type="dxa"/>
            </w:tcMar>
          </w:tcPr>
          <w:p>
            <w:pPr>
              <w:pStyle w:val="Normal"/>
              <w:spacing w:before="60" w:after="60"/>
              <w:rPr/>
            </w:pPr>
            <w:r>
              <w:rPr/>
              <w:t xml:space="preserve">Sempra Energy Trading </w:t>
            </w:r>
          </w:p>
        </w:tc>
        <w:tc>
          <w:tcPr>
            <w:tcW w:w="1530" w:type="dxa"/>
            <w:tcBorders/>
            <w:tcMar>
              <w:start w:w="72" w:type="dxa"/>
              <w:end w:w="72" w:type="dxa"/>
            </w:tcMar>
          </w:tcPr>
          <w:p>
            <w:pPr>
              <w:pStyle w:val="Normal"/>
              <w:spacing w:before="60" w:after="60"/>
              <w:jc w:val="end"/>
              <w:rPr/>
            </w:pPr>
            <w:r>
              <w:rPr/>
              <w:t xml:space="preserve">6,134,991 </w:t>
            </w:r>
          </w:p>
        </w:tc>
      </w:tr>
      <w:tr>
        <w:trPr/>
        <w:tc>
          <w:tcPr>
            <w:tcW w:w="540" w:type="dxa"/>
            <w:tcBorders/>
            <w:shd w:fill="808080" w:val="clear"/>
            <w:tcMar>
              <w:start w:w="72" w:type="dxa"/>
              <w:end w:w="72" w:type="dxa"/>
            </w:tcMar>
          </w:tcPr>
          <w:p>
            <w:pPr>
              <w:pStyle w:val="Normal"/>
              <w:spacing w:before="60" w:after="60"/>
              <w:jc w:val="center"/>
              <w:rPr>
                <w:color w:val="FFFFFF"/>
              </w:rPr>
            </w:pPr>
            <w:r>
              <w:rPr>
                <w:color w:val="FFFFFF"/>
              </w:rPr>
              <w:t>21</w:t>
            </w:r>
          </w:p>
        </w:tc>
        <w:tc>
          <w:tcPr>
            <w:tcW w:w="5130" w:type="dxa"/>
            <w:tcBorders/>
            <w:tcMar>
              <w:start w:w="72" w:type="dxa"/>
              <w:end w:w="72" w:type="dxa"/>
            </w:tcMar>
          </w:tcPr>
          <w:p>
            <w:pPr>
              <w:pStyle w:val="Normal"/>
              <w:spacing w:before="60" w:after="60"/>
              <w:rPr/>
            </w:pPr>
            <w:r>
              <w:rPr/>
              <w:t xml:space="preserve">Sempre Energy Trading </w:t>
            </w:r>
          </w:p>
        </w:tc>
        <w:tc>
          <w:tcPr>
            <w:tcW w:w="1530" w:type="dxa"/>
            <w:tcBorders/>
            <w:tcMar>
              <w:start w:w="72" w:type="dxa"/>
              <w:end w:w="72" w:type="dxa"/>
            </w:tcMar>
          </w:tcPr>
          <w:p>
            <w:pPr>
              <w:pStyle w:val="Normal"/>
              <w:spacing w:before="60" w:after="60"/>
              <w:jc w:val="end"/>
              <w:rPr/>
            </w:pPr>
            <w:r>
              <w:rPr/>
              <w:t xml:space="preserve">6,134,991 </w:t>
            </w:r>
          </w:p>
        </w:tc>
      </w:tr>
      <w:tr>
        <w:trPr/>
        <w:tc>
          <w:tcPr>
            <w:tcW w:w="540" w:type="dxa"/>
            <w:tcBorders/>
            <w:shd w:fill="808080" w:val="clear"/>
            <w:tcMar>
              <w:start w:w="72" w:type="dxa"/>
              <w:end w:w="72" w:type="dxa"/>
            </w:tcMar>
          </w:tcPr>
          <w:p>
            <w:pPr>
              <w:pStyle w:val="Normal"/>
              <w:spacing w:before="60" w:after="60"/>
              <w:jc w:val="center"/>
              <w:rPr>
                <w:color w:val="FFFFFF"/>
              </w:rPr>
            </w:pPr>
            <w:r>
              <w:rPr>
                <w:color w:val="FFFFFF"/>
              </w:rPr>
              <w:t>22</w:t>
            </w:r>
          </w:p>
        </w:tc>
        <w:tc>
          <w:tcPr>
            <w:tcW w:w="5130" w:type="dxa"/>
            <w:tcBorders/>
            <w:tcMar>
              <w:start w:w="72" w:type="dxa"/>
              <w:end w:w="72" w:type="dxa"/>
            </w:tcMar>
          </w:tcPr>
          <w:p>
            <w:pPr>
              <w:pStyle w:val="Normal"/>
              <w:spacing w:before="60" w:after="60"/>
              <w:rPr/>
            </w:pPr>
            <w:r>
              <w:rPr/>
              <w:t xml:space="preserve">Select Energy, Inc. </w:t>
            </w:r>
          </w:p>
        </w:tc>
        <w:tc>
          <w:tcPr>
            <w:tcW w:w="1530" w:type="dxa"/>
            <w:tcBorders/>
            <w:tcMar>
              <w:start w:w="72" w:type="dxa"/>
              <w:end w:w="72" w:type="dxa"/>
            </w:tcMar>
          </w:tcPr>
          <w:p>
            <w:pPr>
              <w:pStyle w:val="Normal"/>
              <w:spacing w:before="60" w:after="60"/>
              <w:jc w:val="end"/>
              <w:rPr/>
            </w:pPr>
            <w:r>
              <w:rPr/>
              <w:t xml:space="preserve">5,564,363 </w:t>
            </w:r>
          </w:p>
        </w:tc>
      </w:tr>
      <w:tr>
        <w:trPr/>
        <w:tc>
          <w:tcPr>
            <w:tcW w:w="540" w:type="dxa"/>
            <w:tcBorders/>
            <w:shd w:fill="808080" w:val="clear"/>
            <w:tcMar>
              <w:start w:w="72" w:type="dxa"/>
              <w:end w:w="72" w:type="dxa"/>
            </w:tcMar>
          </w:tcPr>
          <w:p>
            <w:pPr>
              <w:pStyle w:val="Normal"/>
              <w:spacing w:before="60" w:after="60"/>
              <w:jc w:val="center"/>
              <w:rPr>
                <w:color w:val="FFFFFF"/>
              </w:rPr>
            </w:pPr>
            <w:r>
              <w:rPr>
                <w:color w:val="FFFFFF"/>
              </w:rPr>
              <w:t>23</w:t>
            </w:r>
          </w:p>
        </w:tc>
        <w:tc>
          <w:tcPr>
            <w:tcW w:w="5130" w:type="dxa"/>
            <w:tcBorders/>
            <w:tcMar>
              <w:start w:w="72" w:type="dxa"/>
              <w:end w:w="72" w:type="dxa"/>
            </w:tcMar>
          </w:tcPr>
          <w:p>
            <w:pPr>
              <w:pStyle w:val="Normal"/>
              <w:spacing w:before="60" w:after="60"/>
              <w:rPr/>
            </w:pPr>
            <w:r>
              <w:rPr/>
              <w:t xml:space="preserve">Hafslund Energy Trading LLC </w:t>
            </w:r>
          </w:p>
        </w:tc>
        <w:tc>
          <w:tcPr>
            <w:tcW w:w="1530" w:type="dxa"/>
            <w:tcBorders/>
            <w:tcMar>
              <w:start w:w="72" w:type="dxa"/>
              <w:end w:w="72" w:type="dxa"/>
            </w:tcMar>
          </w:tcPr>
          <w:p>
            <w:pPr>
              <w:pStyle w:val="Normal"/>
              <w:spacing w:before="60" w:after="60"/>
              <w:jc w:val="end"/>
              <w:rPr/>
            </w:pPr>
            <w:r>
              <w:rPr/>
              <w:t xml:space="preserve">5,074,550 </w:t>
            </w:r>
          </w:p>
        </w:tc>
      </w:tr>
      <w:tr>
        <w:trPr/>
        <w:tc>
          <w:tcPr>
            <w:tcW w:w="540" w:type="dxa"/>
            <w:tcBorders/>
            <w:shd w:fill="808080" w:val="clear"/>
            <w:tcMar>
              <w:start w:w="72" w:type="dxa"/>
              <w:end w:w="72" w:type="dxa"/>
            </w:tcMar>
          </w:tcPr>
          <w:p>
            <w:pPr>
              <w:pStyle w:val="Normal"/>
              <w:spacing w:before="60" w:after="60"/>
              <w:jc w:val="center"/>
              <w:rPr>
                <w:color w:val="FFFFFF"/>
              </w:rPr>
            </w:pPr>
            <w:r>
              <w:rPr>
                <w:color w:val="FFFFFF"/>
              </w:rPr>
              <w:t>24</w:t>
            </w:r>
          </w:p>
        </w:tc>
        <w:tc>
          <w:tcPr>
            <w:tcW w:w="5130" w:type="dxa"/>
            <w:tcBorders/>
            <w:tcMar>
              <w:start w:w="72" w:type="dxa"/>
              <w:end w:w="72" w:type="dxa"/>
            </w:tcMar>
          </w:tcPr>
          <w:p>
            <w:pPr>
              <w:pStyle w:val="Normal"/>
              <w:spacing w:before="60" w:after="60"/>
              <w:rPr/>
            </w:pPr>
            <w:r>
              <w:rPr/>
              <w:t xml:space="preserve">Illinova Energy Partners, Inc. </w:t>
            </w:r>
          </w:p>
        </w:tc>
        <w:tc>
          <w:tcPr>
            <w:tcW w:w="1530" w:type="dxa"/>
            <w:tcBorders/>
            <w:tcMar>
              <w:start w:w="72" w:type="dxa"/>
              <w:end w:w="72" w:type="dxa"/>
            </w:tcMar>
          </w:tcPr>
          <w:p>
            <w:pPr>
              <w:pStyle w:val="Normal"/>
              <w:spacing w:before="60" w:after="60"/>
              <w:jc w:val="end"/>
              <w:rPr/>
            </w:pPr>
            <w:r>
              <w:rPr/>
              <w:t xml:space="preserve">4,814,031 </w:t>
            </w:r>
          </w:p>
        </w:tc>
      </w:tr>
      <w:tr>
        <w:trPr/>
        <w:tc>
          <w:tcPr>
            <w:tcW w:w="540" w:type="dxa"/>
            <w:tcBorders/>
            <w:shd w:fill="808080" w:val="clear"/>
            <w:tcMar>
              <w:start w:w="72" w:type="dxa"/>
              <w:end w:w="72" w:type="dxa"/>
            </w:tcMar>
          </w:tcPr>
          <w:p>
            <w:pPr>
              <w:pStyle w:val="Normal"/>
              <w:spacing w:before="60" w:after="60"/>
              <w:jc w:val="center"/>
              <w:rPr>
                <w:color w:val="FFFFFF"/>
              </w:rPr>
            </w:pPr>
            <w:r>
              <w:rPr>
                <w:color w:val="FFFFFF"/>
              </w:rPr>
              <w:t>25</w:t>
            </w:r>
          </w:p>
        </w:tc>
        <w:tc>
          <w:tcPr>
            <w:tcW w:w="5130" w:type="dxa"/>
            <w:tcBorders/>
            <w:tcMar>
              <w:start w:w="72" w:type="dxa"/>
              <w:end w:w="72" w:type="dxa"/>
            </w:tcMar>
          </w:tcPr>
          <w:p>
            <w:pPr>
              <w:pStyle w:val="Normal"/>
              <w:spacing w:before="60" w:after="60"/>
              <w:rPr/>
            </w:pPr>
            <w:r>
              <w:rPr/>
              <w:t xml:space="preserve">Morgan Stanley Capital Group, Inc. </w:t>
            </w:r>
          </w:p>
        </w:tc>
        <w:tc>
          <w:tcPr>
            <w:tcW w:w="1530" w:type="dxa"/>
            <w:tcBorders/>
            <w:tcMar>
              <w:start w:w="72" w:type="dxa"/>
              <w:end w:w="72" w:type="dxa"/>
            </w:tcMar>
          </w:tcPr>
          <w:p>
            <w:pPr>
              <w:pStyle w:val="Normal"/>
              <w:spacing w:before="60" w:after="60"/>
              <w:jc w:val="end"/>
              <w:rPr/>
            </w:pPr>
            <w:r>
              <w:rPr/>
              <w:t xml:space="preserve">4,649,361 </w:t>
            </w:r>
          </w:p>
        </w:tc>
      </w:tr>
    </w:tbl>
    <w:p>
      <w:pPr>
        <w:pStyle w:val="Normal"/>
        <w:rPr/>
      </w:pPr>
      <w:r>
        <w:rPr/>
      </w:r>
    </w:p>
    <w:p>
      <w:pPr>
        <w:pStyle w:val="Normal"/>
        <w:rPr/>
      </w:pPr>
      <w:r>
        <w:rPr/>
        <w:t>Source: Power Marketing Association Online Power Report, May 31, 2000. &lt;&lt;http://www.powermarketers.com/top25a.htm&gt;&gt;</w:t>
      </w:r>
    </w:p>
    <w:p>
      <w:pPr>
        <w:pStyle w:val="Normal"/>
        <w:rPr/>
      </w:pPr>
      <w:r>
        <w:rPr/>
      </w:r>
    </w:p>
    <w:p>
      <w:pPr>
        <w:pStyle w:val="Heading1"/>
        <w:rPr/>
      </w:pPr>
      <w:r>
        <w:rPr/>
        <w:t>Institutional Compliance – Principles</w:t>
      </w:r>
      <w:r>
        <w:fldChar w:fldCharType="begin"/>
      </w:r>
      <w:r>
        <w:rPr/>
        <w:instrText xml:space="preserve"> TC "Institutional Compliance – Principles" \l 2 </w:instrText>
      </w:r>
      <w:r>
        <w:rPr/>
        <w:fldChar w:fldCharType="separate"/>
      </w:r>
      <w:r>
        <w:rPr/>
      </w:r>
      <w:r>
        <w:rPr/>
        <w:fldChar w:fldCharType="end"/>
      </w:r>
      <w:bookmarkStart w:id="19" w:name="__RefHeading___Toc494713829"/>
      <w:bookmarkEnd w:id="19"/>
    </w:p>
    <w:tbl>
      <w:tblPr>
        <w:tblW w:w="9198" w:type="dxa"/>
        <w:jc w:val="start"/>
        <w:tblInd w:w="0" w:type="dxa"/>
        <w:tblLayout w:type="fixed"/>
        <w:tblCellMar>
          <w:top w:w="0" w:type="dxa"/>
          <w:start w:w="108" w:type="dxa"/>
          <w:bottom w:w="0" w:type="dxa"/>
          <w:end w:w="108" w:type="dxa"/>
        </w:tblCellMar>
      </w:tblPr>
      <w:tblGrid>
        <w:gridCol w:w="2178"/>
        <w:gridCol w:w="3490"/>
        <w:gridCol w:w="1100"/>
        <w:gridCol w:w="2430"/>
      </w:tblGrid>
      <w:tr>
        <w:trPr/>
        <w:tc>
          <w:tcPr>
            <w:tcW w:w="5668" w:type="dxa"/>
            <w:gridSpan w:val="2"/>
            <w:tcBorders>
              <w:top w:val="single" w:sz="4" w:space="0" w:color="000000"/>
              <w:start w:val="single" w:sz="4" w:space="0" w:color="000000"/>
            </w:tcBorders>
          </w:tcPr>
          <w:p>
            <w:pPr>
              <w:pStyle w:val="Normal"/>
              <w:snapToGrid w:val="false"/>
              <w:rPr/>
            </w:pPr>
            <w:r>
              <w:rPr/>
            </w:r>
          </w:p>
        </w:tc>
        <w:tc>
          <w:tcPr>
            <w:tcW w:w="1100" w:type="dxa"/>
            <w:tcBorders>
              <w:top w:val="single" w:sz="4" w:space="0" w:color="000000"/>
            </w:tcBorders>
          </w:tcPr>
          <w:p>
            <w:pPr>
              <w:pStyle w:val="Normal"/>
              <w:snapToGrid w:val="false"/>
              <w:rPr/>
            </w:pPr>
            <w:r>
              <w:rPr/>
            </w:r>
          </w:p>
        </w:tc>
        <w:tc>
          <w:tcPr>
            <w:tcW w:w="2430" w:type="dxa"/>
            <w:tcBorders>
              <w:top w:val="single" w:sz="4" w:space="0" w:color="000000"/>
              <w:end w:val="single" w:sz="4" w:space="0" w:color="000000"/>
            </w:tcBorders>
          </w:tcPr>
          <w:p>
            <w:pPr>
              <w:pStyle w:val="BM-DblSp"/>
              <w:snapToGrid w:val="false"/>
              <w:spacing w:lineRule="auto" w:line="240"/>
              <w:rPr/>
            </w:pPr>
            <w:r>
              <w:rPr/>
            </w:r>
          </w:p>
        </w:tc>
      </w:tr>
      <w:tr>
        <w:trPr/>
        <w:tc>
          <w:tcPr>
            <w:tcW w:w="2178" w:type="dxa"/>
            <w:tcBorders>
              <w:start w:val="single" w:sz="4" w:space="0" w:color="000000"/>
              <w:bottom w:val="single" w:sz="4" w:space="0" w:color="000000"/>
            </w:tcBorders>
          </w:tcPr>
          <w:p>
            <w:pPr>
              <w:pStyle w:val="Normal"/>
              <w:rPr>
                <w:i/>
                <w:i/>
              </w:rPr>
            </w:pPr>
            <w:r>
              <w:rPr>
                <w:i/>
              </w:rPr>
              <w:t>Process Step</w:t>
            </w:r>
          </w:p>
        </w:tc>
        <w:tc>
          <w:tcPr>
            <w:tcW w:w="4590" w:type="dxa"/>
            <w:gridSpan w:val="2"/>
            <w:tcBorders>
              <w:bottom w:val="single" w:sz="4" w:space="0" w:color="000000"/>
            </w:tcBorders>
          </w:tcPr>
          <w:p>
            <w:pPr>
              <w:pStyle w:val="Normal"/>
              <w:rPr>
                <w:i/>
                <w:i/>
              </w:rPr>
            </w:pPr>
            <w:r>
              <w:rPr>
                <w:i/>
              </w:rPr>
              <w:t>Description</w:t>
            </w:r>
          </w:p>
        </w:tc>
        <w:tc>
          <w:tcPr>
            <w:tcW w:w="2430" w:type="dxa"/>
            <w:tcBorders>
              <w:bottom w:val="single" w:sz="4" w:space="0" w:color="000000"/>
              <w:end w:val="single" w:sz="4" w:space="0" w:color="000000"/>
            </w:tcBorders>
          </w:tcPr>
          <w:p>
            <w:pPr>
              <w:pStyle w:val="Normal"/>
              <w:rPr>
                <w:i/>
                <w:i/>
              </w:rPr>
            </w:pPr>
            <w:r>
              <w:rPr>
                <w:i/>
              </w:rPr>
              <w:t>Key Participants</w:t>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jc w:val="start"/>
              <w:rPr/>
            </w:pPr>
            <w:r>
              <w:rPr/>
              <w:t>Corporate Strategy</w:t>
            </w:r>
          </w:p>
        </w:tc>
        <w:tc>
          <w:tcPr>
            <w:tcW w:w="4590" w:type="dxa"/>
            <w:gridSpan w:val="2"/>
            <w:tcBorders>
              <w:top w:val="single" w:sz="4" w:space="0" w:color="000000"/>
              <w:start w:val="single" w:sz="4" w:space="0" w:color="000000"/>
              <w:bottom w:val="single" w:sz="4" w:space="0" w:color="000000"/>
              <w:end w:val="single" w:sz="4" w:space="0" w:color="000000"/>
            </w:tcBorders>
          </w:tcPr>
          <w:p>
            <w:pPr>
              <w:pStyle w:val="Normal"/>
              <w:jc w:val="start"/>
              <w:rPr/>
            </w:pPr>
            <w:r>
              <w:rPr/>
              <w:t>Precise, written documentation setting forth markets, the role and scope of activities.  The magnitude, complexity and risk of contemplated transactions must be commensurate with objectives.</w:t>
            </w:r>
          </w:p>
        </w:tc>
        <w:tc>
          <w:tcPr>
            <w:tcW w:w="2430" w:type="dxa"/>
            <w:tcBorders>
              <w:top w:val="single" w:sz="4" w:space="0" w:color="000000"/>
              <w:start w:val="single" w:sz="4" w:space="0" w:color="000000"/>
              <w:bottom w:val="single" w:sz="4" w:space="0" w:color="000000"/>
              <w:end w:val="single" w:sz="4" w:space="0" w:color="000000"/>
            </w:tcBorders>
          </w:tcPr>
          <w:p>
            <w:pPr>
              <w:pStyle w:val="Normal"/>
              <w:jc w:val="start"/>
              <w:rPr/>
            </w:pPr>
            <w:r>
              <w:rPr/>
              <w:t>Senior Management, board</w:t>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jc w:val="start"/>
              <w:rPr/>
            </w:pPr>
            <w:r>
              <w:rPr/>
              <w:t>Risk Management Policy</w:t>
            </w:r>
          </w:p>
        </w:tc>
        <w:tc>
          <w:tcPr>
            <w:tcW w:w="4590" w:type="dxa"/>
            <w:gridSpan w:val="2"/>
            <w:tcBorders>
              <w:top w:val="single" w:sz="4" w:space="0" w:color="000000"/>
              <w:start w:val="single" w:sz="4" w:space="0" w:color="000000"/>
              <w:bottom w:val="single" w:sz="4" w:space="0" w:color="000000"/>
              <w:end w:val="single" w:sz="4" w:space="0" w:color="000000"/>
            </w:tcBorders>
          </w:tcPr>
          <w:p>
            <w:pPr>
              <w:pStyle w:val="Normal"/>
              <w:jc w:val="start"/>
              <w:rPr/>
            </w:pPr>
            <w:r>
              <w:rPr/>
              <w:t>Precise, written document setting forth risk management objectives, methods, products, segregated control parties, authorized individuals, approved limits, hedging strategies, management reporting and such like.  Policy must be consistent with the board’s authorization.  Controls must exist to ensure that only authorized transactions take place and that others are detected and appropriate action taken.</w:t>
            </w:r>
          </w:p>
        </w:tc>
        <w:tc>
          <w:tcPr>
            <w:tcW w:w="2430" w:type="dxa"/>
            <w:tcBorders>
              <w:top w:val="single" w:sz="4" w:space="0" w:color="000000"/>
              <w:start w:val="single" w:sz="4" w:space="0" w:color="000000"/>
              <w:bottom w:val="single" w:sz="4" w:space="0" w:color="000000"/>
              <w:end w:val="single" w:sz="4" w:space="0" w:color="000000"/>
            </w:tcBorders>
          </w:tcPr>
          <w:p>
            <w:pPr>
              <w:pStyle w:val="Normal"/>
              <w:jc w:val="start"/>
              <w:rPr/>
            </w:pPr>
            <w:r>
              <w:rPr/>
              <w:t>Senior management, board, audit committee</w:t>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jc w:val="start"/>
              <w:rPr/>
            </w:pPr>
            <w:r>
              <w:rPr/>
              <w:t>Business processes</w:t>
            </w:r>
          </w:p>
        </w:tc>
        <w:tc>
          <w:tcPr>
            <w:tcW w:w="4590" w:type="dxa"/>
            <w:gridSpan w:val="2"/>
            <w:tcBorders>
              <w:top w:val="single" w:sz="4" w:space="0" w:color="000000"/>
              <w:start w:val="single" w:sz="4" w:space="0" w:color="000000"/>
              <w:bottom w:val="single" w:sz="4" w:space="0" w:color="000000"/>
              <w:end w:val="single" w:sz="4" w:space="0" w:color="000000"/>
            </w:tcBorders>
          </w:tcPr>
          <w:p>
            <w:pPr>
              <w:pStyle w:val="Normal"/>
              <w:jc w:val="start"/>
              <w:rPr/>
            </w:pPr>
            <w:r>
              <w:rPr/>
              <w:t>Formal identification of business processes.  A framework to assure consistent applications to all transactions and trading units.</w:t>
            </w:r>
          </w:p>
        </w:tc>
        <w:tc>
          <w:tcPr>
            <w:tcW w:w="2430" w:type="dxa"/>
            <w:tcBorders>
              <w:top w:val="single" w:sz="4" w:space="0" w:color="000000"/>
              <w:start w:val="single" w:sz="4" w:space="0" w:color="000000"/>
              <w:bottom w:val="single" w:sz="4" w:space="0" w:color="000000"/>
              <w:end w:val="single" w:sz="4" w:space="0" w:color="000000"/>
            </w:tcBorders>
          </w:tcPr>
          <w:p>
            <w:pPr>
              <w:pStyle w:val="Normal"/>
              <w:jc w:val="start"/>
              <w:rPr/>
            </w:pPr>
            <w:r>
              <w:rPr/>
              <w:t>Management, senior management</w:t>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jc w:val="start"/>
              <w:rPr/>
            </w:pPr>
            <w:r>
              <w:rPr/>
              <w:t>Organization and management structure</w:t>
            </w:r>
          </w:p>
        </w:tc>
        <w:tc>
          <w:tcPr>
            <w:tcW w:w="4590" w:type="dxa"/>
            <w:gridSpan w:val="2"/>
            <w:tcBorders>
              <w:top w:val="single" w:sz="4" w:space="0" w:color="000000"/>
              <w:start w:val="single" w:sz="4" w:space="0" w:color="000000"/>
              <w:bottom w:val="single" w:sz="4" w:space="0" w:color="000000"/>
              <w:end w:val="single" w:sz="4" w:space="0" w:color="000000"/>
            </w:tcBorders>
          </w:tcPr>
          <w:p>
            <w:pPr>
              <w:pStyle w:val="Normal"/>
              <w:jc w:val="start"/>
              <w:rPr/>
            </w:pPr>
            <w:r>
              <w:rPr/>
              <w:t>Segregates duties of front, middle and back office including credit, legal, treasury and risk oversight functions.  Personnel with authority to engage in and monitor trading activity must be qualified and appropriately trained.</w:t>
            </w:r>
          </w:p>
        </w:tc>
        <w:tc>
          <w:tcPr>
            <w:tcW w:w="2430" w:type="dxa"/>
            <w:tcBorders>
              <w:top w:val="single" w:sz="4" w:space="0" w:color="000000"/>
              <w:start w:val="single" w:sz="4" w:space="0" w:color="000000"/>
              <w:bottom w:val="single" w:sz="4" w:space="0" w:color="000000"/>
              <w:end w:val="single" w:sz="4" w:space="0" w:color="000000"/>
            </w:tcBorders>
          </w:tcPr>
          <w:p>
            <w:pPr>
              <w:pStyle w:val="Normal"/>
              <w:jc w:val="start"/>
              <w:rPr/>
            </w:pPr>
            <w:r>
              <w:rPr/>
              <w:t>Senior management, audit committee</w:t>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jc w:val="start"/>
              <w:rPr/>
            </w:pPr>
            <w:r>
              <w:rPr/>
              <w:t>Management reports</w:t>
            </w:r>
          </w:p>
        </w:tc>
        <w:tc>
          <w:tcPr>
            <w:tcW w:w="4590" w:type="dxa"/>
            <w:gridSpan w:val="2"/>
            <w:tcBorders>
              <w:top w:val="single" w:sz="4" w:space="0" w:color="000000"/>
              <w:start w:val="single" w:sz="4" w:space="0" w:color="000000"/>
              <w:bottom w:val="single" w:sz="4" w:space="0" w:color="000000"/>
              <w:end w:val="single" w:sz="4" w:space="0" w:color="000000"/>
            </w:tcBorders>
          </w:tcPr>
          <w:p>
            <w:pPr>
              <w:pStyle w:val="Normal"/>
              <w:jc w:val="start"/>
              <w:rPr/>
            </w:pPr>
            <w:r>
              <w:rPr/>
              <w:t>Predefined reports and provide relevant information to enable decision making regarding strategy implementation.</w:t>
            </w:r>
          </w:p>
        </w:tc>
        <w:tc>
          <w:tcPr>
            <w:tcW w:w="2430" w:type="dxa"/>
            <w:tcBorders>
              <w:top w:val="single" w:sz="4" w:space="0" w:color="000000"/>
              <w:start w:val="single" w:sz="4" w:space="0" w:color="000000"/>
              <w:bottom w:val="single" w:sz="4" w:space="0" w:color="000000"/>
              <w:end w:val="single" w:sz="4" w:space="0" w:color="000000"/>
            </w:tcBorders>
          </w:tcPr>
          <w:p>
            <w:pPr>
              <w:pStyle w:val="Normal"/>
              <w:jc w:val="start"/>
              <w:rPr/>
            </w:pPr>
            <w:r>
              <w:rPr/>
              <w:t>Management, senior management</w:t>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jc w:val="start"/>
              <w:rPr/>
            </w:pPr>
            <w:r>
              <w:rPr/>
              <w:t>Risk measurement methods</w:t>
            </w:r>
          </w:p>
        </w:tc>
        <w:tc>
          <w:tcPr>
            <w:tcW w:w="4590" w:type="dxa"/>
            <w:gridSpan w:val="2"/>
            <w:tcBorders>
              <w:top w:val="single" w:sz="4" w:space="0" w:color="000000"/>
              <w:start w:val="single" w:sz="4" w:space="0" w:color="000000"/>
              <w:bottom w:val="single" w:sz="4" w:space="0" w:color="000000"/>
              <w:end w:val="single" w:sz="4" w:space="0" w:color="000000"/>
            </w:tcBorders>
          </w:tcPr>
          <w:p>
            <w:pPr>
              <w:pStyle w:val="Normal"/>
              <w:jc w:val="start"/>
              <w:rPr/>
            </w:pPr>
            <w:r>
              <w:rPr/>
              <w:t>Specific models and assumptions used to evaluate risk exposures.  Include evaluation of hedge effectiveness, current, valuations, stress testing, sensitivity and VaR</w:t>
            </w:r>
          </w:p>
        </w:tc>
        <w:tc>
          <w:tcPr>
            <w:tcW w:w="2430" w:type="dxa"/>
            <w:tcBorders>
              <w:top w:val="single" w:sz="4" w:space="0" w:color="000000"/>
              <w:start w:val="single" w:sz="4" w:space="0" w:color="000000"/>
              <w:bottom w:val="single" w:sz="4" w:space="0" w:color="000000"/>
              <w:end w:val="single" w:sz="4" w:space="0" w:color="000000"/>
            </w:tcBorders>
          </w:tcPr>
          <w:p>
            <w:pPr>
              <w:pStyle w:val="Normal"/>
              <w:jc w:val="start"/>
              <w:rPr/>
            </w:pPr>
            <w:r>
              <w:rPr/>
              <w:t>Risk committee, audit committee</w:t>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jc w:val="start"/>
              <w:rPr/>
            </w:pPr>
            <w:r>
              <w:rPr/>
              <w:t>Counterparty evaluations</w:t>
            </w:r>
          </w:p>
        </w:tc>
        <w:tc>
          <w:tcPr>
            <w:tcW w:w="4590" w:type="dxa"/>
            <w:gridSpan w:val="2"/>
            <w:tcBorders>
              <w:top w:val="single" w:sz="4" w:space="0" w:color="000000"/>
              <w:start w:val="single" w:sz="4" w:space="0" w:color="000000"/>
              <w:bottom w:val="single" w:sz="4" w:space="0" w:color="000000"/>
              <w:end w:val="single" w:sz="4" w:space="0" w:color="000000"/>
            </w:tcBorders>
          </w:tcPr>
          <w:p>
            <w:pPr>
              <w:pStyle w:val="Normal"/>
              <w:jc w:val="start"/>
              <w:rPr/>
            </w:pPr>
            <w:r>
              <w:rPr/>
              <w:t>Credit approvals should be performed for all transactions and exposures updated at least daily.</w:t>
            </w:r>
          </w:p>
        </w:tc>
        <w:tc>
          <w:tcPr>
            <w:tcW w:w="2430" w:type="dxa"/>
            <w:tcBorders>
              <w:top w:val="single" w:sz="4" w:space="0" w:color="000000"/>
              <w:start w:val="single" w:sz="4" w:space="0" w:color="000000"/>
              <w:bottom w:val="single" w:sz="4" w:space="0" w:color="000000"/>
              <w:end w:val="single" w:sz="4" w:space="0" w:color="000000"/>
            </w:tcBorders>
          </w:tcPr>
          <w:p>
            <w:pPr>
              <w:pStyle w:val="Normal"/>
              <w:jc w:val="start"/>
              <w:rPr/>
            </w:pPr>
            <w:r>
              <w:rPr/>
              <w:t>Credit department, credit committee</w:t>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jc w:val="start"/>
              <w:rPr/>
            </w:pPr>
            <w:r>
              <w:rPr/>
              <w:t>Trading strategy</w:t>
            </w:r>
          </w:p>
        </w:tc>
        <w:tc>
          <w:tcPr>
            <w:tcW w:w="4590" w:type="dxa"/>
            <w:gridSpan w:val="2"/>
            <w:tcBorders>
              <w:top w:val="single" w:sz="4" w:space="0" w:color="000000"/>
              <w:start w:val="single" w:sz="4" w:space="0" w:color="000000"/>
              <w:bottom w:val="single" w:sz="4" w:space="0" w:color="000000"/>
              <w:end w:val="single" w:sz="4" w:space="0" w:color="000000"/>
            </w:tcBorders>
          </w:tcPr>
          <w:p>
            <w:pPr>
              <w:pStyle w:val="Normal"/>
              <w:jc w:val="start"/>
              <w:rPr/>
            </w:pPr>
            <w:r>
              <w:rPr/>
              <w:t>Description of near-term business plans and the execution of trades to implement.  Upon execution, the database is updated and daily position reports generated.</w:t>
            </w:r>
          </w:p>
        </w:tc>
        <w:tc>
          <w:tcPr>
            <w:tcW w:w="2430" w:type="dxa"/>
            <w:tcBorders>
              <w:top w:val="single" w:sz="4" w:space="0" w:color="000000"/>
              <w:start w:val="single" w:sz="4" w:space="0" w:color="000000"/>
              <w:bottom w:val="single" w:sz="4" w:space="0" w:color="000000"/>
              <w:end w:val="single" w:sz="4" w:space="0" w:color="000000"/>
            </w:tcBorders>
          </w:tcPr>
          <w:p>
            <w:pPr>
              <w:pStyle w:val="Normal"/>
              <w:jc w:val="start"/>
              <w:rPr/>
            </w:pPr>
            <w:r>
              <w:rPr/>
              <w:t>Head trader, senior management</w:t>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jc w:val="start"/>
              <w:rPr/>
            </w:pPr>
            <w:r>
              <w:rPr/>
              <w:t>Trade analysis</w:t>
            </w:r>
          </w:p>
        </w:tc>
        <w:tc>
          <w:tcPr>
            <w:tcW w:w="4590" w:type="dxa"/>
            <w:gridSpan w:val="2"/>
            <w:tcBorders>
              <w:top w:val="single" w:sz="4" w:space="0" w:color="000000"/>
              <w:start w:val="single" w:sz="4" w:space="0" w:color="000000"/>
              <w:bottom w:val="single" w:sz="4" w:space="0" w:color="000000"/>
              <w:end w:val="single" w:sz="4" w:space="0" w:color="000000"/>
            </w:tcBorders>
          </w:tcPr>
          <w:p>
            <w:pPr>
              <w:pStyle w:val="Normal"/>
              <w:jc w:val="start"/>
              <w:rPr/>
            </w:pPr>
            <w:r>
              <w:rPr/>
              <w:t>Process of review to ascertain that results are as expected and taking corrective action.</w:t>
            </w:r>
          </w:p>
        </w:tc>
        <w:tc>
          <w:tcPr>
            <w:tcW w:w="2430" w:type="dxa"/>
            <w:tcBorders>
              <w:top w:val="single" w:sz="4" w:space="0" w:color="000000"/>
              <w:start w:val="single" w:sz="4" w:space="0" w:color="000000"/>
              <w:bottom w:val="single" w:sz="4" w:space="0" w:color="000000"/>
              <w:end w:val="single" w:sz="4" w:space="0" w:color="000000"/>
            </w:tcBorders>
          </w:tcPr>
          <w:p>
            <w:pPr>
              <w:pStyle w:val="Normal"/>
              <w:jc w:val="start"/>
              <w:rPr/>
            </w:pPr>
            <w:r>
              <w:rPr/>
              <w:t>Head trader, risk control officer, senior management</w:t>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jc w:val="start"/>
              <w:rPr/>
            </w:pPr>
            <w:r>
              <w:rPr/>
              <w:t>Trade clearing</w:t>
            </w:r>
          </w:p>
        </w:tc>
        <w:tc>
          <w:tcPr>
            <w:tcW w:w="4590" w:type="dxa"/>
            <w:gridSpan w:val="2"/>
            <w:tcBorders>
              <w:top w:val="single" w:sz="4" w:space="0" w:color="000000"/>
              <w:start w:val="single" w:sz="4" w:space="0" w:color="000000"/>
              <w:bottom w:val="single" w:sz="4" w:space="0" w:color="000000"/>
              <w:end w:val="single" w:sz="4" w:space="0" w:color="000000"/>
            </w:tcBorders>
          </w:tcPr>
          <w:p>
            <w:pPr>
              <w:pStyle w:val="Normal"/>
              <w:jc w:val="start"/>
              <w:rPr/>
            </w:pPr>
            <w:r>
              <w:rPr/>
              <w:t>Independent confirmation of deal terms with the counterparty.</w:t>
            </w:r>
          </w:p>
        </w:tc>
        <w:tc>
          <w:tcPr>
            <w:tcW w:w="2430" w:type="dxa"/>
            <w:tcBorders>
              <w:top w:val="single" w:sz="4" w:space="0" w:color="000000"/>
              <w:start w:val="single" w:sz="4" w:space="0" w:color="000000"/>
              <w:bottom w:val="single" w:sz="4" w:space="0" w:color="000000"/>
              <w:end w:val="single" w:sz="4" w:space="0" w:color="000000"/>
            </w:tcBorders>
          </w:tcPr>
          <w:p>
            <w:pPr>
              <w:pStyle w:val="Normal"/>
              <w:jc w:val="start"/>
              <w:rPr/>
            </w:pPr>
            <w:r>
              <w:rPr/>
              <w:t>Middle office</w:t>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jc w:val="start"/>
              <w:rPr/>
            </w:pPr>
            <w:r>
              <w:rPr/>
              <w:t>Risk monitoring</w:t>
            </w:r>
          </w:p>
        </w:tc>
        <w:tc>
          <w:tcPr>
            <w:tcW w:w="4590" w:type="dxa"/>
            <w:gridSpan w:val="2"/>
            <w:tcBorders>
              <w:top w:val="single" w:sz="4" w:space="0" w:color="000000"/>
              <w:start w:val="single" w:sz="4" w:space="0" w:color="000000"/>
              <w:bottom w:val="single" w:sz="4" w:space="0" w:color="000000"/>
              <w:end w:val="single" w:sz="4" w:space="0" w:color="000000"/>
            </w:tcBorders>
          </w:tcPr>
          <w:p>
            <w:pPr>
              <w:pStyle w:val="Normal"/>
              <w:jc w:val="start"/>
              <w:rPr/>
            </w:pPr>
            <w:r>
              <w:rPr/>
              <w:t>Independent control function compliance with limits and policy.  Determines risk measurement methods and models with authority to reduce exposure.</w:t>
            </w:r>
          </w:p>
        </w:tc>
        <w:tc>
          <w:tcPr>
            <w:tcW w:w="2430" w:type="dxa"/>
            <w:tcBorders>
              <w:top w:val="single" w:sz="4" w:space="0" w:color="000000"/>
              <w:start w:val="single" w:sz="4" w:space="0" w:color="000000"/>
              <w:bottom w:val="single" w:sz="4" w:space="0" w:color="000000"/>
              <w:end w:val="single" w:sz="4" w:space="0" w:color="000000"/>
            </w:tcBorders>
          </w:tcPr>
          <w:p>
            <w:pPr>
              <w:pStyle w:val="Normal"/>
              <w:jc w:val="start"/>
              <w:rPr/>
            </w:pPr>
            <w:r>
              <w:rPr/>
              <w:t>Risk oversight or audit committee</w:t>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jc w:val="start"/>
              <w:rPr/>
            </w:pPr>
            <w:r>
              <w:rPr/>
              <w:t>Accounting and settlement</w:t>
            </w:r>
          </w:p>
        </w:tc>
        <w:tc>
          <w:tcPr>
            <w:tcW w:w="4590" w:type="dxa"/>
            <w:gridSpan w:val="2"/>
            <w:tcBorders>
              <w:top w:val="single" w:sz="4" w:space="0" w:color="000000"/>
              <w:start w:val="single" w:sz="4" w:space="0" w:color="000000"/>
              <w:bottom w:val="single" w:sz="4" w:space="0" w:color="000000"/>
              <w:end w:val="single" w:sz="4" w:space="0" w:color="000000"/>
            </w:tcBorders>
          </w:tcPr>
          <w:p>
            <w:pPr>
              <w:pStyle w:val="Normal"/>
              <w:jc w:val="start"/>
              <w:rPr/>
            </w:pPr>
            <w:r>
              <w:rPr/>
              <w:t>Compare trade records to position reports and broker/counterparty statements.  Generate daily position reports independent of front office and compares results.  Verifies accounting and tax treatment of trades and process invoices and payments.</w:t>
            </w:r>
          </w:p>
        </w:tc>
        <w:tc>
          <w:tcPr>
            <w:tcW w:w="2430" w:type="dxa"/>
            <w:tcBorders>
              <w:top w:val="single" w:sz="4" w:space="0" w:color="000000"/>
              <w:start w:val="single" w:sz="4" w:space="0" w:color="000000"/>
              <w:bottom w:val="single" w:sz="4" w:space="0" w:color="000000"/>
              <w:end w:val="single" w:sz="4" w:space="0" w:color="000000"/>
            </w:tcBorders>
          </w:tcPr>
          <w:p>
            <w:pPr>
              <w:pStyle w:val="Normal"/>
              <w:jc w:val="start"/>
              <w:rPr/>
            </w:pPr>
            <w:r>
              <w:rPr/>
              <w:t>Controller</w:t>
            </w:r>
          </w:p>
        </w:tc>
      </w:tr>
    </w:tbl>
    <w:p>
      <w:pPr>
        <w:pStyle w:val="Normal"/>
        <w:rPr/>
      </w:pPr>
      <w:r>
        <w:rPr/>
      </w:r>
    </w:p>
    <w:p>
      <w:pPr>
        <w:pStyle w:val="Normal"/>
        <w:rPr/>
      </w:pPr>
      <w:r>
        <w:rPr/>
        <w:t xml:space="preserve">Source:  Steve Byone and Don Jefferis, “Energy Trading Disasters: Can Better Information Systems Prevent Them?”  </w:t>
      </w:r>
      <w:r>
        <w:rPr>
          <w:i/>
        </w:rPr>
        <w:t>Power Economics</w:t>
      </w:r>
      <w:r>
        <w:rPr/>
        <w:t>, March 2000.</w:t>
      </w:r>
    </w:p>
    <w:sectPr>
      <w:footerReference w:type="default" r:id="rId10"/>
      <w:footerReference w:type="first" r:id="rId11"/>
      <w:footnotePr>
        <w:numFmt w:val="decimal"/>
      </w:footnotePr>
      <w:type w:val="nextPage"/>
      <w:pgSz w:w="12240" w:h="15840"/>
      <w:pgMar w:left="1800" w:right="1800" w:gutter="0" w:header="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 w:name="CG 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p>
    <w:pPr>
      <w:pStyle w:val="Footer"/>
      <w:rPr>
        <w:rStyle w:val="PageNumber"/>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p>
    <w:pPr>
      <w:pStyle w:val="Footer"/>
      <w:rPr>
        <w:rStyle w:val="PageNumb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rPr>
        <w:rStyle w:val="PageNumber"/>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p>
    <w:pPr>
      <w:pStyle w:val="Footer"/>
      <w:rPr>
        <w:rStyle w:val="PageNumb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pPr>
    <w:r>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rPr>
        <w:rStyle w:val="PageNumb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Energy Information Administration, U.S. Department of Energy, Report #DOE/EIA-0380 (2000).</w:t>
      </w:r>
    </w:p>
  </w:footnote>
  <w:footnote w:id="3">
    <w:p>
      <w:pPr>
        <w:pStyle w:val="FootnoteText"/>
        <w:rPr/>
      </w:pPr>
      <w:r>
        <w:rPr>
          <w:rStyle w:val="FootnoteCharacters"/>
        </w:rPr>
        <w:footnoteRef/>
      </w:r>
      <w:r>
        <w:rPr/>
        <w:t xml:space="preserve"> </w:t>
      </w:r>
      <w:r>
        <w:rPr/>
        <w:t xml:space="preserve">Resource Data International, reported in </w:t>
      </w:r>
      <w:r>
        <w:rPr>
          <w:i/>
        </w:rPr>
        <w:t>Generation Week</w:t>
      </w:r>
      <w:r>
        <w:rPr/>
        <w:t>, May 17, 2000.</w:t>
      </w:r>
    </w:p>
  </w:footnote>
  <w:footnote w:id="4">
    <w:p>
      <w:pPr>
        <w:pStyle w:val="FootnoteText"/>
        <w:rPr/>
      </w:pPr>
      <w:r>
        <w:rPr>
          <w:rStyle w:val="FootnoteCharacters"/>
        </w:rPr>
        <w:footnoteRef/>
      </w:r>
      <w:r>
        <w:rPr/>
        <w:t xml:space="preserve"> </w:t>
      </w:r>
      <w:r>
        <w:rPr>
          <w:i/>
        </w:rPr>
        <w:t>World Cogeneration</w:t>
      </w:r>
      <w:r>
        <w:rPr/>
        <w:t>, Nov/Dec 1999.</w:t>
      </w:r>
    </w:p>
  </w:footnote>
  <w:footnote w:id="5">
    <w:p>
      <w:pPr>
        <w:pStyle w:val="FootnoteText"/>
        <w:rPr/>
      </w:pPr>
      <w:r>
        <w:rPr>
          <w:rStyle w:val="FootnoteCharacters"/>
        </w:rPr>
        <w:footnoteRef/>
      </w:r>
      <w:r>
        <w:rPr/>
        <w:t xml:space="preserve"> </w:t>
      </w:r>
      <w:r>
        <w:rPr>
          <w:i/>
        </w:rPr>
        <w:t>Financial Times</w:t>
      </w:r>
      <w:r>
        <w:rPr/>
        <w:t>, April 27, 2000.</w:t>
      </w:r>
    </w:p>
  </w:footnote>
  <w:footnote w:id="6">
    <w:p>
      <w:pPr>
        <w:pStyle w:val="FootnoteText"/>
        <w:rPr/>
      </w:pPr>
      <w:r>
        <w:rPr>
          <w:rStyle w:val="FootnoteCharacters"/>
        </w:rPr>
        <w:footnoteRef/>
      </w:r>
      <w:r>
        <w:rPr/>
        <w:t xml:space="preserve"> </w:t>
      </w:r>
      <w:r>
        <w:rPr/>
        <w:t xml:space="preserve">Energy Information Administration, </w:t>
      </w:r>
      <w:r>
        <w:rPr>
          <w:i/>
        </w:rPr>
        <w:t>Electric Power Monthly – April 2000</w:t>
      </w:r>
      <w:r>
        <w:rPr/>
        <w:t>.</w:t>
      </w:r>
    </w:p>
  </w:footnote>
  <w:footnote w:id="7">
    <w:p>
      <w:pPr>
        <w:pStyle w:val="FootnoteText"/>
        <w:rPr/>
      </w:pPr>
      <w:r>
        <w:rPr>
          <w:rStyle w:val="FootnoteCharacters"/>
        </w:rPr>
        <w:footnoteRef/>
      </w:r>
      <w:r>
        <w:rPr/>
        <w:t xml:space="preserve"> </w:t>
      </w:r>
      <w:r>
        <w:rPr>
          <w:i/>
        </w:rPr>
        <w:t>Petroleum Economist</w:t>
      </w:r>
      <w:r>
        <w:rPr/>
        <w:t>, May 5, 2000.</w:t>
      </w:r>
    </w:p>
  </w:footnote>
  <w:footnote w:id="8">
    <w:p>
      <w:pPr>
        <w:pStyle w:val="FootnoteText"/>
        <w:rPr/>
      </w:pPr>
      <w:r>
        <w:rPr>
          <w:rStyle w:val="FootnoteCharacters"/>
        </w:rPr>
        <w:footnoteRef/>
      </w:r>
      <w:r>
        <w:rPr/>
        <w:t xml:space="preserve"> </w:t>
      </w:r>
      <w:r>
        <w:rPr/>
        <w:t xml:space="preserve">RKS Research and Consulting, reported by </w:t>
      </w:r>
      <w:r>
        <w:rPr>
          <w:i/>
        </w:rPr>
        <w:t>The Electricity Forum</w:t>
      </w:r>
      <w:r>
        <w:rPr/>
        <w:t>, April 2000.</w:t>
      </w:r>
    </w:p>
  </w:footnote>
  <w:footnote w:id="9">
    <w:p>
      <w:pPr>
        <w:pStyle w:val="FootnoteText"/>
        <w:rPr/>
      </w:pPr>
      <w:r>
        <w:rPr>
          <w:rStyle w:val="FootnoteCharacters"/>
        </w:rPr>
        <w:footnoteRef/>
      </w:r>
      <w:r>
        <w:rPr/>
        <w:t xml:space="preserve"> </w:t>
      </w:r>
      <w:r>
        <w:rPr/>
        <w:t>NEXTMarkets, McGraw Hill Energy Information Group, May 10, 2000.</w:t>
      </w:r>
    </w:p>
  </w:footnote>
  <w:footnote w:id="10">
    <w:p>
      <w:pPr>
        <w:pStyle w:val="FootnoteText"/>
        <w:rPr/>
      </w:pPr>
      <w:r>
        <w:rPr>
          <w:rStyle w:val="FootnoteCharacters"/>
        </w:rPr>
        <w:footnoteRef/>
      </w:r>
      <w:r>
        <w:rPr/>
        <w:t xml:space="preserve"> </w:t>
      </w:r>
      <w:r>
        <w:rPr>
          <w:i/>
        </w:rPr>
        <w:t>Power Economics</w:t>
      </w:r>
      <w:r>
        <w:rPr/>
        <w:t>, March 3, 2000.</w:t>
      </w:r>
    </w:p>
  </w:footnote>
  <w:footnote w:id="11">
    <w:p>
      <w:pPr>
        <w:pStyle w:val="FootnoteText"/>
        <w:rPr/>
      </w:pPr>
      <w:r>
        <w:rPr>
          <w:rStyle w:val="FootnoteCharacters"/>
        </w:rPr>
        <w:footnoteRef/>
      </w:r>
      <w:r>
        <w:rPr/>
        <w:t xml:space="preserve"> </w:t>
      </w:r>
      <w:r>
        <w:rPr>
          <w:i/>
        </w:rPr>
        <w:t>Petroleum Economist</w:t>
      </w:r>
      <w:r>
        <w:rPr/>
        <w:t>, May 24, 2000.</w:t>
      </w:r>
    </w:p>
  </w:footnote>
  <w:footnote w:id="12">
    <w:p>
      <w:pPr>
        <w:pStyle w:val="FootnoteText"/>
        <w:rPr/>
      </w:pPr>
      <w:r>
        <w:rPr>
          <w:rStyle w:val="FootnoteCharacters"/>
        </w:rPr>
        <w:footnoteRef/>
      </w:r>
      <w:r>
        <w:rPr/>
        <w:t xml:space="preserve"> </w:t>
      </w:r>
      <w:r>
        <w:rPr/>
        <w:t>Id.</w:t>
      </w:r>
    </w:p>
  </w:footnote>
  <w:footnote w:id="13">
    <w:p>
      <w:pPr>
        <w:pStyle w:val="FootnoteText"/>
        <w:rPr/>
      </w:pPr>
      <w:r>
        <w:rPr>
          <w:rStyle w:val="FootnoteCharacters"/>
        </w:rPr>
        <w:footnoteRef/>
      </w:r>
      <w:r>
        <w:rPr/>
        <w:t xml:space="preserve"> </w:t>
      </w:r>
      <w:r>
        <w:rPr/>
        <w:t xml:space="preserve">Entergy, Koch Form New Trading House With Eye on Enron,” </w:t>
      </w:r>
      <w:r>
        <w:rPr>
          <w:i/>
        </w:rPr>
        <w:t>The Energy Daily</w:t>
      </w:r>
      <w:r>
        <w:rPr/>
        <w:t>, April 25, 2000.</w:t>
      </w:r>
    </w:p>
  </w:footnote>
  <w:footnote w:id="14">
    <w:p>
      <w:pPr>
        <w:pStyle w:val="FootnoteText"/>
        <w:rPr/>
      </w:pPr>
      <w:r>
        <w:rPr>
          <w:rStyle w:val="FootnoteCharacters"/>
        </w:rPr>
        <w:footnoteRef/>
      </w:r>
      <w:r>
        <w:rPr/>
        <w:t xml:space="preserve"> </w:t>
      </w:r>
      <w:r>
        <w:rPr>
          <w:i/>
        </w:rPr>
        <w:t>Energy Trading Beyond 2000</w:t>
      </w:r>
      <w:r>
        <w:rPr/>
        <w:t>, The 1999 Saladin Report, December 1999 (“Saladin Report”).</w:t>
      </w:r>
    </w:p>
  </w:footnote>
  <w:footnote w:id="15">
    <w:p>
      <w:pPr>
        <w:pStyle w:val="FootnoteText"/>
        <w:rPr/>
      </w:pPr>
      <w:r>
        <w:rPr>
          <w:rStyle w:val="FootnoteCharacters"/>
        </w:rPr>
        <w:footnoteRef/>
      </w:r>
      <w:r>
        <w:rPr/>
        <w:t xml:space="preserve"> </w:t>
      </w:r>
      <w:r>
        <w:rPr>
          <w:i/>
        </w:rPr>
        <w:t>Staff Report to the Federal Energy Regulatory Commission on the Cause of the Pricing Abnormalities in the Midwest during June 1998</w:t>
      </w:r>
      <w:r>
        <w:rPr/>
        <w:t>, Federal Energy Regulatory Commission, vi (1998) (“FERC Report”).</w:t>
      </w:r>
    </w:p>
  </w:footnote>
  <w:footnote w:id="16">
    <w:p>
      <w:pPr>
        <w:pStyle w:val="FootnoteText"/>
        <w:rPr/>
      </w:pPr>
      <w:r>
        <w:rPr>
          <w:rStyle w:val="FootnoteCharacters"/>
        </w:rPr>
        <w:footnoteRef/>
      </w:r>
      <w:r>
        <w:rPr/>
        <w:t xml:space="preserve"> </w:t>
      </w:r>
      <w:r>
        <w:rPr>
          <w:i/>
        </w:rPr>
        <w:t>Utility Business</w:t>
      </w:r>
      <w:r>
        <w:rPr/>
        <w:t>, May 2000.</w:t>
      </w:r>
    </w:p>
  </w:footnote>
  <w:footnote w:id="17">
    <w:p>
      <w:pPr>
        <w:pStyle w:val="FootnoteText"/>
        <w:rPr/>
      </w:pPr>
      <w:r>
        <w:rPr>
          <w:rStyle w:val="FootnoteCharacters"/>
        </w:rPr>
        <w:footnoteRef/>
      </w:r>
      <w:r>
        <w:rPr/>
        <w:t xml:space="preserve"> “</w:t>
      </w:r>
      <w:r>
        <w:rPr/>
        <w:t xml:space="preserve">Building the Perfect Beast,” </w:t>
      </w:r>
      <w:r>
        <w:rPr>
          <w:i/>
        </w:rPr>
        <w:t>Global Energy Business</w:t>
      </w:r>
      <w:r>
        <w:rPr/>
        <w:t>, September/October 1999.</w:t>
      </w:r>
    </w:p>
  </w:footnote>
  <w:footnote w:id="18">
    <w:p>
      <w:pPr>
        <w:pStyle w:val="FootnoteText"/>
        <w:rPr/>
      </w:pPr>
      <w:r>
        <w:rPr>
          <w:rStyle w:val="FootnoteCharacters"/>
        </w:rPr>
        <w:footnoteRef/>
      </w:r>
      <w:r>
        <w:rPr/>
        <w:t xml:space="preserve"> </w:t>
      </w:r>
      <w:r>
        <w:rPr/>
        <w:t>Montel Energy News, January 11, 2000.</w:t>
      </w:r>
    </w:p>
  </w:footnote>
  <w:footnote w:id="19">
    <w:p>
      <w:pPr>
        <w:pStyle w:val="FootnoteText"/>
        <w:rPr/>
      </w:pPr>
      <w:r>
        <w:rPr>
          <w:rStyle w:val="FootnoteCharacters"/>
        </w:rPr>
        <w:footnoteRef/>
      </w:r>
      <w:r>
        <w:rPr/>
        <w:t xml:space="preserve"> </w:t>
      </w:r>
      <w:r>
        <w:rPr/>
        <w:t>Saladin Report.</w:t>
      </w:r>
    </w:p>
  </w:footnote>
  <w:footnote w:id="20">
    <w:p>
      <w:pPr>
        <w:pStyle w:val="FootnoteText"/>
        <w:rPr/>
      </w:pPr>
      <w:r>
        <w:rPr>
          <w:rStyle w:val="FootnoteCharacters"/>
        </w:rPr>
        <w:footnoteRef/>
      </w:r>
      <w:r>
        <w:rPr/>
        <w:t xml:space="preserve"> </w:t>
      </w:r>
      <w:r>
        <w:rPr/>
        <w:t xml:space="preserve">Forrester Research, reported in </w:t>
      </w:r>
      <w:r>
        <w:rPr>
          <w:i/>
        </w:rPr>
        <w:t>Oil &amp; Gas Journal</w:t>
      </w:r>
      <w:r>
        <w:rPr/>
        <w:t>, April 24, 2000.</w:t>
      </w:r>
    </w:p>
  </w:footnote>
  <w:footnote w:id="21">
    <w:p>
      <w:pPr>
        <w:pStyle w:val="FootnoteText"/>
        <w:rPr/>
      </w:pPr>
      <w:r>
        <w:rPr>
          <w:rStyle w:val="FootnoteCharacters"/>
        </w:rPr>
        <w:footnoteRef/>
      </w:r>
      <w:r>
        <w:rPr/>
        <w:t xml:space="preserve"> </w:t>
      </w:r>
      <w:r>
        <w:rPr/>
        <w:t>Reuters, May 2, 2000.</w:t>
      </w:r>
    </w:p>
  </w:footnote>
  <w:footnote w:id="22">
    <w:p>
      <w:pPr>
        <w:pStyle w:val="FootnoteText"/>
        <w:rPr/>
      </w:pPr>
      <w:r>
        <w:rPr>
          <w:rStyle w:val="FootnoteCharacters"/>
        </w:rPr>
        <w:footnoteRef/>
      </w:r>
      <w:r>
        <w:rPr/>
        <w:t xml:space="preserve"> </w:t>
      </w:r>
      <w:r>
        <w:rPr/>
        <w:t>Altra Energy Technologies, Inc., April 3, 2000.</w:t>
      </w:r>
    </w:p>
  </w:footnote>
  <w:footnote w:id="23">
    <w:p>
      <w:pPr>
        <w:pStyle w:val="FootnoteText"/>
        <w:rPr/>
      </w:pPr>
      <w:r>
        <w:rPr>
          <w:rStyle w:val="FootnoteCharacters"/>
        </w:rPr>
        <w:footnoteRef/>
      </w:r>
      <w:r>
        <w:rPr/>
        <w:t xml:space="preserve"> </w:t>
      </w:r>
      <w:r>
        <w:rPr>
          <w:i/>
        </w:rPr>
        <w:t>Gas Daily</w:t>
      </w:r>
      <w:r>
        <w:rPr/>
        <w:t>, May 23, 2000.</w:t>
      </w:r>
    </w:p>
  </w:footnote>
  <w:footnote w:id="24">
    <w:p>
      <w:pPr>
        <w:pStyle w:val="FootnoteText"/>
        <w:rPr/>
      </w:pPr>
      <w:r>
        <w:rPr>
          <w:rStyle w:val="FootnoteCharacters"/>
        </w:rPr>
        <w:footnoteRef/>
      </w:r>
      <w:r>
        <w:rPr/>
        <w:t xml:space="preserve"> </w:t>
      </w:r>
      <w:r>
        <w:rPr>
          <w:i/>
        </w:rPr>
        <w:t>Financial Times</w:t>
      </w:r>
      <w:r>
        <w:rPr/>
        <w:t>, June 5, 2000.</w:t>
      </w:r>
    </w:p>
  </w:footnote>
  <w:footnote w:id="25">
    <w:p>
      <w:pPr>
        <w:pStyle w:val="FootnoteText"/>
        <w:rPr/>
      </w:pPr>
      <w:r>
        <w:rPr>
          <w:rStyle w:val="FootnoteCharacters"/>
        </w:rPr>
        <w:footnoteRef/>
      </w:r>
      <w:r>
        <w:rPr/>
        <w:t xml:space="preserve"> </w:t>
      </w:r>
      <w:r>
        <w:rPr>
          <w:i/>
        </w:rPr>
        <w:t>Financial Times</w:t>
      </w:r>
      <w:r>
        <w:rPr/>
        <w:t>, June 6, 2000.</w:t>
      </w:r>
    </w:p>
  </w:footnote>
  <w:footnote w:id="26">
    <w:p>
      <w:pPr>
        <w:pStyle w:val="FootnoteText"/>
        <w:rPr/>
      </w:pPr>
      <w:r>
        <w:rPr>
          <w:rStyle w:val="FootnoteCharacters"/>
        </w:rPr>
        <w:footnoteRef/>
      </w:r>
      <w:r>
        <w:rPr/>
        <w:t xml:space="preserve"> </w:t>
      </w:r>
      <w:r>
        <w:rPr>
          <w:i/>
        </w:rPr>
        <w:t>Financial Times</w:t>
      </w:r>
      <w:r>
        <w:rPr/>
        <w:t>, August 14, 2000.</w:t>
      </w:r>
    </w:p>
  </w:footnote>
  <w:footnote w:id="27">
    <w:p>
      <w:pPr>
        <w:pStyle w:val="FootnoteText"/>
        <w:rPr/>
      </w:pPr>
      <w:r>
        <w:rPr>
          <w:rStyle w:val="FootnoteCharacters"/>
        </w:rPr>
        <w:footnoteRef/>
      </w:r>
      <w:r>
        <w:rPr/>
        <w:t xml:space="preserve"> </w:t>
      </w:r>
      <w:r>
        <w:rPr>
          <w:i/>
        </w:rPr>
        <w:t>An Overview of the New Electricity Trading Arrangements V1.0</w:t>
      </w:r>
      <w:r>
        <w:rPr/>
        <w:t>, Ofgem, May 31, 2000.</w:t>
      </w:r>
    </w:p>
  </w:footnote>
  <w:footnote w:id="28">
    <w:p>
      <w:pPr>
        <w:pStyle w:val="FootnoteText"/>
        <w:rPr/>
      </w:pPr>
      <w:r>
        <w:rPr>
          <w:rStyle w:val="FootnoteCharacters"/>
        </w:rPr>
        <w:footnoteRef/>
      </w:r>
      <w:r>
        <w:rPr/>
        <w:t xml:space="preserve"> </w:t>
      </w:r>
      <w:r>
        <w:rPr>
          <w:i/>
        </w:rPr>
        <w:t>Daily Yomiuri</w:t>
      </w:r>
      <w:r>
        <w:rPr/>
        <w:t>, June 9, 2000.</w:t>
      </w:r>
    </w:p>
  </w:footnote>
  <w:footnote w:id="29">
    <w:p>
      <w:pPr>
        <w:pStyle w:val="FootnoteText"/>
        <w:rPr/>
      </w:pPr>
      <w:r>
        <w:rPr>
          <w:rStyle w:val="FootnoteCharacters"/>
        </w:rPr>
        <w:footnoteRef/>
      </w:r>
      <w:r>
        <w:rPr/>
        <w:t xml:space="preserve"> </w:t>
      </w:r>
      <w:r>
        <w:rPr>
          <w:i/>
        </w:rPr>
        <w:t>Petroleum Economist</w:t>
      </w:r>
      <w:r>
        <w:rPr/>
        <w:t>, May 24, 2000.</w:t>
      </w:r>
    </w:p>
  </w:footnote>
  <w:footnote w:id="30">
    <w:p>
      <w:pPr>
        <w:pStyle w:val="FootnoteText"/>
        <w:rPr/>
      </w:pPr>
      <w:r>
        <w:rPr>
          <w:rStyle w:val="FootnoteCharacters"/>
        </w:rPr>
        <w:footnoteRef/>
      </w:r>
      <w:r>
        <w:rPr/>
        <w:t xml:space="preserve"> </w:t>
      </w:r>
      <w:r>
        <w:rPr/>
        <w:t xml:space="preserve">Frost &amp; Sullivan, </w:t>
      </w:r>
      <w:r>
        <w:rPr>
          <w:i/>
        </w:rPr>
        <w:t>North American Wholesale Energy Marketing Industry</w:t>
      </w:r>
      <w:r>
        <w:rPr/>
        <w:t xml:space="preserve">, reported in </w:t>
      </w:r>
      <w:r>
        <w:rPr>
          <w:i/>
        </w:rPr>
        <w:t>Foster Electric Report</w:t>
      </w:r>
      <w:r>
        <w:rPr/>
        <w:t xml:space="preserve"> No. 183, February 2, 2000 (“Frost and Sullivan Report”).</w:t>
      </w:r>
    </w:p>
  </w:footnote>
  <w:footnote w:id="31">
    <w:p>
      <w:pPr>
        <w:pStyle w:val="FootnoteText"/>
        <w:rPr/>
      </w:pPr>
      <w:r>
        <w:rPr>
          <w:rStyle w:val="FootnoteCharacters"/>
        </w:rPr>
        <w:footnoteRef/>
      </w:r>
      <w:r>
        <w:rPr/>
        <w:t xml:space="preserve"> </w:t>
      </w:r>
      <w:r>
        <w:rPr>
          <w:i/>
        </w:rPr>
        <w:t>Energy Insight</w:t>
      </w:r>
      <w:r>
        <w:rPr/>
        <w:t xml:space="preserve">, FT Energy and Resource Data International, as reported by </w:t>
      </w:r>
      <w:hyperlink r:id="rId1">
        <w:r>
          <w:rPr>
            <w:rStyle w:val="Hyperlink"/>
          </w:rPr>
          <w:t>www.bizjournals.com</w:t>
        </w:r>
      </w:hyperlink>
      <w:r>
        <w:rPr/>
        <w:t>, June 21, 1999.</w:t>
      </w:r>
    </w:p>
  </w:footnote>
  <w:footnote w:id="32">
    <w:p>
      <w:pPr>
        <w:pStyle w:val="FootnoteText"/>
        <w:rPr/>
      </w:pPr>
      <w:r>
        <w:rPr>
          <w:rStyle w:val="FootnoteCharacters"/>
        </w:rPr>
        <w:footnoteRef/>
      </w:r>
      <w:r>
        <w:rPr/>
        <w:t xml:space="preserve"> </w:t>
      </w:r>
      <w:r>
        <w:rPr/>
        <w:t>Frost and Sullivan Report.</w:t>
      </w:r>
    </w:p>
  </w:footnote>
  <w:footnote w:id="33">
    <w:p>
      <w:pPr>
        <w:pStyle w:val="FootnoteText"/>
        <w:rPr/>
      </w:pPr>
      <w:r>
        <w:rPr>
          <w:rStyle w:val="FootnoteCharacters"/>
        </w:rPr>
        <w:footnoteRef/>
      </w:r>
      <w:r>
        <w:rPr/>
        <w:t xml:space="preserve"> </w:t>
      </w:r>
      <w:r>
        <w:rPr/>
        <w:t>Id.</w:t>
      </w:r>
    </w:p>
  </w:footnote>
  <w:footnote w:id="34">
    <w:p>
      <w:pPr>
        <w:pStyle w:val="FootnoteText"/>
        <w:rPr/>
      </w:pPr>
      <w:r>
        <w:rPr>
          <w:rStyle w:val="FootnoteCharacters"/>
        </w:rPr>
        <w:footnoteRef/>
      </w:r>
      <w:r>
        <w:rPr/>
        <w:t xml:space="preserve"> </w:t>
      </w:r>
      <w:r>
        <w:rPr/>
        <w:t>FERC Report, vi.</w:t>
      </w:r>
    </w:p>
  </w:footnote>
  <w:footnote w:id="35">
    <w:p>
      <w:pPr>
        <w:pStyle w:val="FootnoteText"/>
        <w:rPr/>
      </w:pPr>
      <w:r>
        <w:rPr>
          <w:rStyle w:val="FootnoteCharacters"/>
        </w:rPr>
        <w:footnoteRef/>
      </w:r>
      <w:r>
        <w:rPr/>
        <w:t xml:space="preserve"> </w:t>
      </w:r>
      <w:r>
        <w:rPr/>
        <w:t>Id. Chapter 4.</w:t>
      </w:r>
    </w:p>
  </w:footnote>
  <w:footnote w:id="36">
    <w:p>
      <w:pPr>
        <w:pStyle w:val="FootnoteText"/>
        <w:rPr/>
      </w:pPr>
      <w:r>
        <w:rPr>
          <w:rStyle w:val="FootnoteCharacters"/>
        </w:rPr>
        <w:footnoteRef/>
      </w:r>
      <w:r>
        <w:rPr/>
        <w:t xml:space="preserve"> </w:t>
      </w:r>
      <w:r>
        <w:rPr/>
        <w:t>Id.</w:t>
      </w:r>
    </w:p>
  </w:footnote>
  <w:footnote w:id="37">
    <w:p>
      <w:pPr>
        <w:pStyle w:val="FootnoteText"/>
        <w:rPr/>
      </w:pPr>
      <w:r>
        <w:rPr>
          <w:rStyle w:val="FootnoteCharacters"/>
        </w:rPr>
        <w:footnoteRef/>
      </w:r>
      <w:r>
        <w:rPr/>
        <w:t xml:space="preserve"> </w:t>
      </w:r>
      <w:hyperlink r:id="rId2">
        <w:r>
          <w:rPr>
            <w:rStyle w:val="Hyperlink"/>
          </w:rPr>
          <w:t>www.eei.org</w:t>
        </w:r>
      </w:hyperlink>
      <w:r>
        <w:rPr/>
        <w:t xml:space="preserve"> (2000).</w:t>
      </w:r>
    </w:p>
  </w:footnote>
  <w:footnote w:id="38">
    <w:p>
      <w:pPr>
        <w:pStyle w:val="FootnoteText"/>
        <w:rPr/>
      </w:pPr>
      <w:r>
        <w:rPr>
          <w:rStyle w:val="FootnoteCharacters"/>
        </w:rPr>
        <w:footnoteRef/>
      </w:r>
      <w:r>
        <w:rPr/>
        <w:t xml:space="preserve"> “</w:t>
      </w:r>
      <w:r>
        <w:rPr/>
        <w:t xml:space="preserve">EEI’s Master Contract: If You Draw It Up, Will They Trade?” </w:t>
      </w:r>
      <w:r>
        <w:rPr>
          <w:i/>
        </w:rPr>
        <w:t>Public Utilities Fortnightly</w:t>
      </w:r>
      <w:r>
        <w:rPr/>
        <w:t>, January 1, 2000.</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Wingdings" w:hAnsi="Wingdings" w:cs="Wingdings" w:hint="default"/>
      </w:rPr>
    </w:lvl>
  </w:abstractNum>
  <w:abstractNum w:abstractNumId="3">
    <w:lvl w:ilvl="0">
      <w:start w:val="1"/>
      <w:numFmt w:val="bullet"/>
      <w:lvlText w:val=""/>
      <w:lvlJc w:val="start"/>
      <w:pPr>
        <w:tabs>
          <w:tab w:val="num" w:pos="360"/>
        </w:tabs>
        <w:ind w:start="360" w:hanging="360"/>
      </w:pPr>
      <w:rPr>
        <w:rFonts w:ascii="Wingdings" w:hAnsi="Wingdings" w:cs="Wingdings" w:hint="default"/>
      </w:rPr>
    </w:lvl>
  </w:abstractNum>
  <w:abstractNum w:abstractNumId="4">
    <w:lvl w:ilvl="0">
      <w:start w:val="1"/>
      <w:numFmt w:val="bullet"/>
      <w:lvlText w:val=""/>
      <w:lvlJc w:val="start"/>
      <w:pPr>
        <w:tabs>
          <w:tab w:val="num" w:pos="360"/>
        </w:tabs>
        <w:ind w:start="360" w:hanging="360"/>
      </w:pPr>
      <w:rPr>
        <w:rFonts w:ascii="Wingdings" w:hAnsi="Wingdings" w:cs="Wingdings" w:hint="default"/>
      </w:rPr>
    </w:lvl>
  </w:abstractNum>
  <w:abstractNum w:abstractNumId="5">
    <w:lvl w:ilvl="0">
      <w:start w:val="1"/>
      <w:numFmt w:val="bullet"/>
      <w:lvlText w:val=""/>
      <w:lvlJc w:val="start"/>
      <w:pPr>
        <w:tabs>
          <w:tab w:val="num" w:pos="360"/>
        </w:tabs>
        <w:ind w:start="36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45"/>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spacing w:before="0" w:after="120"/>
      <w:ind w:hanging="0" w:start="0" w:end="486"/>
      <w:jc w:val="center"/>
      <w:outlineLvl w:val="0"/>
    </w:pPr>
    <w:rPr>
      <w:rFonts w:ascii="Arial" w:hAnsi="Arial" w:cs="Arial"/>
      <w:b/>
      <w:kern w:val="2"/>
      <w:sz w:val="30"/>
    </w:rPr>
  </w:style>
  <w:style w:type="character" w:styleId="WW8Num1z0">
    <w:name w:val="WW8Num1z0"/>
    <w:qFormat/>
    <w:rPr>
      <w:rFonts w:ascii="Wingdings" w:hAnsi="Wingdings" w:cs="Wingdings"/>
    </w:rPr>
  </w:style>
  <w:style w:type="character" w:styleId="WW8Num2z0">
    <w:name w:val="WW8Num2z0"/>
    <w:qFormat/>
    <w:rPr>
      <w:rFonts w:ascii="Wingdings" w:hAnsi="Wingdings" w:cs="Wingdings"/>
    </w:rPr>
  </w:style>
  <w:style w:type="character" w:styleId="WW8Num3z0">
    <w:name w:val="WW8Num3z0"/>
    <w:qFormat/>
    <w:rPr>
      <w:rFonts w:ascii="Wingdings" w:hAnsi="Wingdings" w:cs="Wingdings"/>
    </w:rPr>
  </w:style>
  <w:style w:type="character" w:styleId="WW8Num4z0">
    <w:name w:val="WW8Num4z0"/>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Hyperlink">
    <w:name w:val="Hyperlink"/>
    <w:basedOn w:val="DefaultParagraphFont"/>
    <w:rPr>
      <w:color w:val="0000FF"/>
      <w:u w:val="single"/>
    </w:rPr>
  </w:style>
  <w:style w:type="character" w:styleId="Strong">
    <w:name w:val="Strong"/>
    <w:basedOn w:val="DefaultParagraphFont"/>
    <w:qFormat/>
    <w:rPr>
      <w:b/>
    </w:rPr>
  </w:style>
  <w:style w:type="character" w:styleId="IndexLink">
    <w:name w:val="Index Link"/>
    <w:qForma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OC1">
    <w:name w:val="toc 1"/>
    <w:basedOn w:val="Normal"/>
    <w:next w:val="Normal"/>
    <w:pPr>
      <w:spacing w:before="360" w:after="0"/>
    </w:pPr>
    <w:rPr>
      <w:rFonts w:ascii="Arial" w:hAnsi="Arial" w:cs="Arial"/>
      <w:b/>
      <w:caps/>
      <w:sz w:val="24"/>
    </w:rPr>
  </w:style>
  <w:style w:type="paragraph" w:styleId="TOC2">
    <w:name w:val="toc 2"/>
    <w:basedOn w:val="Normal"/>
    <w:next w:val="Normal"/>
    <w:pPr>
      <w:spacing w:before="240" w:after="0"/>
    </w:pPr>
    <w:rPr>
      <w:b/>
    </w:rPr>
  </w:style>
  <w:style w:type="paragraph" w:styleId="TOC3">
    <w:name w:val="toc 3"/>
    <w:basedOn w:val="Normal"/>
    <w:next w:val="Normal"/>
    <w:pPr>
      <w:ind w:hanging="0" w:start="200" w:end="0"/>
    </w:pPr>
    <w:rPr/>
  </w:style>
  <w:style w:type="paragraph" w:styleId="TOC4">
    <w:name w:val="toc 4"/>
    <w:basedOn w:val="Normal"/>
    <w:next w:val="Normal"/>
    <w:pPr>
      <w:ind w:hanging="0" w:start="400" w:end="0"/>
    </w:pPr>
    <w:rPr/>
  </w:style>
  <w:style w:type="paragraph" w:styleId="TOC5">
    <w:name w:val="toc 5"/>
    <w:basedOn w:val="Normal"/>
    <w:next w:val="Normal"/>
    <w:pPr>
      <w:ind w:hanging="0" w:start="600" w:end="0"/>
    </w:pPr>
    <w:rPr/>
  </w:style>
  <w:style w:type="paragraph" w:styleId="TOC6">
    <w:name w:val="toc 6"/>
    <w:basedOn w:val="Normal"/>
    <w:next w:val="Normal"/>
    <w:pPr>
      <w:ind w:hanging="0" w:start="800" w:end="0"/>
    </w:pPr>
    <w:rPr/>
  </w:style>
  <w:style w:type="paragraph" w:styleId="TOC7">
    <w:name w:val="toc 7"/>
    <w:basedOn w:val="Normal"/>
    <w:next w:val="Normal"/>
    <w:pPr>
      <w:ind w:hanging="0" w:start="1000" w:end="0"/>
    </w:pPr>
    <w:rPr/>
  </w:style>
  <w:style w:type="paragraph" w:styleId="TOC8">
    <w:name w:val="toc 8"/>
    <w:basedOn w:val="Normal"/>
    <w:next w:val="Normal"/>
    <w:pPr>
      <w:ind w:hanging="0" w:start="1200" w:end="0"/>
    </w:pPr>
    <w:rPr/>
  </w:style>
  <w:style w:type="paragraph" w:styleId="TOC9">
    <w:name w:val="toc 9"/>
    <w:basedOn w:val="Normal"/>
    <w:next w:val="Normal"/>
    <w:pPr>
      <w:ind w:hanging="0" w:start="1400" w:end="0"/>
    </w:pPr>
    <w:rPr/>
  </w:style>
  <w:style w:type="paragraph" w:styleId="FootnoteText">
    <w:name w:val="footnote text"/>
    <w:basedOn w:val="Normal"/>
    <w:pPr/>
    <w:rPr/>
  </w:style>
  <w:style w:type="paragraph" w:styleId="Heading2">
    <w:name w:val="Heading2"/>
    <w:basedOn w:val="Normal"/>
    <w:qFormat/>
    <w:pPr>
      <w:pBdr>
        <w:bottom w:val="single" w:sz="4" w:space="1" w:color="000000"/>
      </w:pBdr>
    </w:pPr>
    <w:rPr>
      <w:rFonts w:ascii="Arial" w:hAnsi="Arial" w:cs="Arial"/>
      <w:b/>
      <w:sz w:val="28"/>
    </w:rPr>
  </w:style>
  <w:style w:type="paragraph" w:styleId="BM-DblSp">
    <w:name w:val="BM-Dbl Sp"/>
    <w:basedOn w:val="Normal"/>
    <w:qFormat/>
    <w:pPr>
      <w:spacing w:lineRule="auto" w:line="480"/>
      <w:jc w:val="star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footnotes" Target="footnotes.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
</Relationships>
</file>

<file path=word/_rels/footnotes.xml.rels><?xml version="1.0" encoding="UTF-8"?>
<Relationships xmlns="http://schemas.openxmlformats.org/package/2006/relationships"><Relationship Id="rId1" Type="http://schemas.openxmlformats.org/officeDocument/2006/relationships/hyperlink" Target="http://www.bizjournals.com/" TargetMode="External"/><Relationship Id="rId2" Type="http://schemas.openxmlformats.org/officeDocument/2006/relationships/hyperlink" Target="http://www.eei.org/" TargetMode="Externa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2000-10-09T15:58:00Z</dcterms:created>
  <dc:creator>Samir S. Desai</dc:creator>
  <dc:description/>
  <dc:language>en-CA</dc:language>
  <cp:lastModifiedBy>WDCSSD</cp:lastModifiedBy>
  <cp:lastPrinted>2000-09-27T18:33:00Z</cp:lastPrinted>
  <dcterms:modified xsi:type="dcterms:W3CDTF">2000-10-09T15:58:35Z</dcterms:modified>
  <cp:revision>2</cp:revision>
  <dc:subject/>
  <dc:title>Power Trading Paper</dc:title>
</cp:coreProperties>
</file>