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 xml:space="preserve">SEC. 6. Section 372 of the Public Utilities Code is amended to read: 372. (a) It is the policy of the state to encourage and support the development of cogeneration as an efficient, environmentally beneficial, competitive energy resource that will enhance the reliability of local generation supply, and promote local business growth. Subject to the specific conditions provided in this section,the commission shall determine the applicability to customers of uneconomic costs as specified in Sections 367, 368, 375, and 376.Consistent with this state policy, the commission shall provide that these costs shall not apply to any of the following: (1) To load served onsite or under an over the fence arrangement by a nonmobile self-cogeneration or cogeneration facility that was operational on or before December 20, 1995, or by increases in the capacity of such a facility to the extent that such increased capacity was constructed by an entity holding an ownership interest in or operating the facility and does not exceed 120 percent of the installed capacity as of December 20, 1995, provided that prior to June 30, 2000, the costs shall apply to over the fence arrangements entered into after December 20, 1995, between unaffiliated parties. For the purposes of this subdivision, "affiliated" means any person or entity that directly, or indirectly through one or more intermediaries, controls, is controlled by, or is under common on control with another specified entity. "Control" means either of the following: (A) The possession, directly or indirectly, of the power to director to cause the direction of the management or policies of a person or entity, whether through an ownership, beneficial, contractual, or equitable interest. (B) Direct or indirect ownership of at least 25 percent of an entity, whether through an ownership, beneficial or equitable interest. (2) To load served by onsite or under an over the fence arrangement by a nonmobile self-cogeneration or cogeneration facility for which the customer was committed to construction as of December20, 1995, provided that the facility was substantially operational onor before January 1, 1998, or by increases in the capacity of such a facility to the extent that the increased capacity was constructed by an entity holding an ownership interest in or operating the facility and does not exceed 120 percent of the installed capacity as of January 1, 1998, provided that prior to June 30, 2000, the costs shall apply to over the fence arrangements entered into after December 20, 1995, between unaffiliated parties. (3) To load served by existing, new, or portable emergency generation equipment used to serve the customer's load requirements during periods when utility service is unavailable, provided such emergency generation is not operated in parallel with the integrated electric grid, except on a momentary parallel basis. (4) After June 30, 2000, to any load served onsite or under anover the fence arrangement by any nonmobile self-cogeneration or  cogeneration facility. (b) Further, consistent with state policy, withrespect to self-cogeneration or cogeneration deferral agreements, the commission shall do the following: (1) Provide that a utility shall execute a final self-cogeneration or cogeneration deferral agreement with any customer that, on or before December 20, 1995, had executed a letter of intent (or similar documentation) to enter into the agreement with the utility, provided that the final agreement shall be consistent with the terms and conditions set forth in the letter of intent and the commission shall review and approve the final agreement. (2) Provide that a customer that holds a self-cogeneration or cogeneration deferral agreement that was in place on or before December 20, 1995, or that was executed pursuant to paragraph (1) in the event the agreement expires, or is terminated, may do any of the following: (A) Continue through December 31, 2001, to receive utility service at the rate and under terms and conditions applicable to the customer under the deferral agreement that, as executed, includes an allocation of uneconomic costs consistent with subdivision (e) ofSection 367. (B) Engage in a direct transaction for the purchase of electricity and pay uneconomic costs consistent with Sections 367, 368, 375, and 376. (C) Construct a self-cogeneration or cogeneration facility of approximately the same capacity as the facility previously deferred, provided that the costs provided in Sections 367, 368, 375, and 376shall apply consistent with subdivision (e) of Section 367, unless otherwise authorized by the commission pursuant to subdivision (c). (3) Subject to the fire wall described in subdivision (e) of Section 367 provide that the ratemaking treatment for self-cogeneration or cogeneration deferral agreements executed prior to December 20, 1995, or executed pursuant to paragraph (1) shall be consistent with the ratemaking treatment for the contracts approved before January 1995. (c) The commission shall authorize, within 60 days of the receipt of a joint application from the serving utility and one or more interested parties, applicability conditions as follows: (1) The costs identified in Sections 367, 368, 375, and 376 shall not, prior to June 30, 2000, apply to load served onsite by a nonmobile self-cogeneration or cogeneration facility that became operational on or after December 20, 1995. (2) The costs identified in Sections 367, 368, 375, and 376 shallnot, prior to June 30, 2000, apply to any load served under over thefence arrangements entered into after December 20, 1995, between unaffiliated entities. (d) For the purposes of this subdivision, all onsite or over the fence arrangements shall be consistent with Section 218 as it existed on December 20, 1995. (e) To facilitate the development of new microcogeneration applications, electrical corporations may apply to the commission for a financing order to finance the transition costs to be recovered from customers employing the applications. (f) To encourage the continued development, installation, and interconnection of clean and efficient self-generation and cogeneration resources, to improve system reliability for consumers by retaining existing generation and encouraging new generation to connect to the electric grid, and to increase self-sufficiency of consumers of electricity through the deployment of self-generation and cogeneration, both of the following shall occur: (1) The commission and the Electricity Oversight Board shall determine if any policy or action undertaken by the Independent System Operator, directly or indirectly, unreasonably discourages the connection of existing self-generation or cogeneration or new self-generation or cogeneration to the grid. (2) If the commission and the Electricity Oversight Board findthat any policy or action of the Independent System Operator unreasonably discourages, the connection of existing self-generationor cogeneration or new self-generation or cogeneration to the grid, the commission and the Electricity Oversight Boardshall undertake all necessary efforts to revise, mitigate, or eliminate that policy or action of the Independent System Operator. SEC. 7. Section 399.15 is added to the Public Utilities Code, toread: 399.15. Notwithstanding any other provision of law, within 180days of the effective date of this section, the commission, in consultation with the Independent System Operator, shall take all ofthe following actions, and shall include the reasonable costsinvolved in taking those actions in the distribution revenue requirements of utilities regulated by the commission, as appropriate: (a) (1) Identify and undertake those actions necessary to reduceor remove constraints on the state's existing electrical transmission and distribution system, including, but not limited to, reconductoring of transmission lines, the addition of capacitors to increase voltage, the reinforcement of existing transmission capacity, and the installation of new transformer banks. The commission shall, in consultation with the Independent System Operator, give first priority to those geographical regions where congestion reduces or impedes electrical transmission and supply. (2) Consistent with the existing statutory authority of the commission, the commission shall afford electrical corporations a reasonable opportunity to fully recover costs it determines are reasonable and prudent to plan, finance, construct, operate, and maintain any facilities under its jurisdiction required by this section. (b) In consultation with the State Energy Resources Conservation and Development Commission, adopt energy conservation demand-side management and other initiatives in order to reduce demand for electricity and reduce load during peak demand periods. Those initiatives shall include, but not be limited to, all of the following: (1) Expansion and acceleration of residential and commercial weatherization programs. (2) Expansion and acceleration of programs to inspect and improve the operating efficiency of heating, ventilation, and air-conditioning equipment in new and existing buildings, to ensure that these systems achieve the maximum feasible cost-effective energy efficiency. (3) Expansion and acceleration of programs to improve energy efficiency in new buildings, in order to achieve the maximum feasible reductions in uneconomic energy and peak electricity consumption. (4) Incentives to equip commercial buildings with the capacity toautomatically shut down or dim nonessential lighting and incrementally raise thermostats during peak electricity demand period. (5) Evaluation of installing local infrastructure to link temperature setback thermostats to real-time price signals. (6) Incentives for load control and distributed generation to be paid for enhancing reliability. (7) Differential incentives for renewable or super clean distributed generation resources. (8) Reevaluation of all efficiency cost-effectiveness tests in light of increases in wholesale electricity costs and of natural gas costs to explicitly include the system value of reduced load on reducing market clearing prices and volatility. (c) In consultation with the Energy Resources Conservation and Development Commission, adopt and implement a residential, commercial, and industrial peak reduction program that encourages electric customers to reduce electricity consumption during peakpower periods. SEC. 8. The sum of fifty seven million five hundred thousand dollars ($57,500,000) is hereby appropriated from the General Fund tothe State Controller for the following purposes: (a) Five million two hundred thousand dollars ($5,200,000) to fund temporary staff resources, including, but not limited to, limited term positions, not to exceed four years, at the Energy Resources Conservation and Development Commission, the agencies, boards, and departments within the California Environmental Protection Agency, and the Resources Agency, with jurisdiction over electrical power plant siting and conservation and demand side management programs, for the exclusive purpose of implementing programs pursuant to this act. (1) Prior to the expenditure of funds pursuant to this subdivision, the commission shall prepare and submit an expenditure plan to the Governor and the Legislature that specifies those agencies and positions for which those funds will be expended. (2) It is the intent of the Legislature that these funds for staff resources be expended exclusively to implement programs that achieve the maximum feasible cost-effective energy conservation and efficiency while providing the necessary staff resources to expedite siting of electrical power plants that meet the criteria established pursuant to the act adding this section. (b) Two million three hundred thousand dollars ($2,300,000) to the Public Utilities Commission, to fund temporary staff resources, including limited term positions not to exceed four years, and to implement the programs established pursuant to this act. (c) Fifty million dollars ($50,000,000) to the Energy Resources Conservation and Development Commission, to implement cost-effective energy conservation and demand-side management programs established pursuant to Section 25555 of the Public Resources Code, as enacted by this act. The commission shall prioritize conservation and demand-side management programs funded pursuant to this sub division to ensure that those programs that achieve the most immediate andcost-effective energy savings are undertaken as a first priority. SEC. 9. Nothing in this act shall, in any way, apply to a pending application for the certification of the Metcalf Energy Center, which was filed with the State Energy Resources Conservation and Development Commission by Calpine and Bechtel under Docket No.(99-AFC-3). SEC. 10. This act is an urgency statute necessary for the immediate preservation of the public peace, health, or safety within the meaning of Article IV of the Constitution and shall go into immediate effect. The facts constituting the necessity are: Due to the shortage of electric generation capacity to meet the needs of the people of this state and in order to limit further impacts of this shortage on the public health, safety, and welfare, it is necessary that this act take effect immediately. </w:t>
      </w:r>
    </w:p>
    <w:tbl>
      <w:tblPr>
        <w:tblW w:w="140" w:type="dxa"/>
        <w:jc w:val="start"/>
        <w:tblInd w:w="0" w:type="dxa"/>
        <w:tblLayout w:type="fixed"/>
        <w:tblCellMar>
          <w:top w:w="0" w:type="dxa"/>
          <w:start w:w="0" w:type="dxa"/>
          <w:bottom w:w="0" w:type="dxa"/>
          <w:end w:w="0" w:type="dxa"/>
        </w:tblCellMar>
      </w:tblPr>
      <w:tblGrid>
        <w:gridCol w:w="140"/>
      </w:tblGrid>
      <w:tr>
        <w:trPr/>
        <w:tc>
          <w:tcPr>
            <w:tcW w:w="140" w:type="dxa"/>
            <w:tcBorders/>
            <w:vAlign w:val="center"/>
          </w:tcPr>
          <w:p>
            <w:pPr>
              <w:pStyle w:val="Normal"/>
              <w:snapToGrid w:val="false"/>
              <w:rPr/>
            </w:pPr>
            <w:r>
              <w:rPr/>
            </w:r>
          </w:p>
        </w:tc>
      </w:tr>
    </w:tbl>
    <w:p>
      <w:pPr>
        <w:pStyle w:val="Normal"/>
        <w:rPr/>
      </w:pPr>
      <w:r>
        <w:rPr/>
      </w:r>
    </w:p>
    <w:p>
      <w:pPr>
        <w:pStyle w:val="Normal"/>
        <w:rPr/>
      </w:pPr>
      <w:r>
        <w:rP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9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2000-09-05T14:38:00Z</dcterms:created>
  <dc:creator>Don Schultz</dc:creator>
  <dc:description/>
  <dc:language>en-CA</dc:language>
  <cp:lastModifiedBy>Don Schultz</cp:lastModifiedBy>
  <dcterms:modified xsi:type="dcterms:W3CDTF">2000-09-05T14:48:00Z</dcterms:modified>
  <cp:revision>2</cp:revision>
  <dc:subject/>
  <dc:title>SEC</dc:title>
</cp:coreProperties>
</file>