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Enron Energy Operations ASE Studio Workshop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Planning Document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February 12 – 13, 2001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Sponsor Team:</w:t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/>
        <w:tab/>
        <w:t>Mary Solmonson</w:t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/>
        <w:tab/>
        <w:t>Sally Beck</w:t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/>
        <w:tab/>
        <w:t>Lisa Petruszka</w:t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/>
        <w:tab/>
        <w:t>???Other Enron???</w:t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360" w:leader="none"/>
        </w:tabs>
        <w:rPr>
          <w:b/>
          <w:sz w:val="24"/>
        </w:rPr>
      </w:pPr>
      <w:r>
        <w:rPr>
          <w:b/>
          <w:sz w:val="24"/>
        </w:rPr>
        <w:t>Objectives (to be further refined during Sponsor Meeting):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jc w:val="both"/>
        <w:rPr/>
      </w:pPr>
      <w:r>
        <w:rPr/>
        <w:t>Develop an overall mission for the services Enron’s Energy Operations group will take to the public market.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jc w:val="both"/>
        <w:rPr/>
      </w:pPr>
      <w:r>
        <w:rPr/>
        <w:t xml:space="preserve">Develop and agree on a business plan that links to the mission, identifies the market opportunity, and defines the product and service offerings to be provided by Energy Operations.  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jc w:val="both"/>
        <w:rPr/>
      </w:pPr>
      <w:r>
        <w:rPr/>
        <w:t>Create a list of prospective market segments/customers who would purchase these services.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jc w:val="both"/>
        <w:rPr/>
      </w:pPr>
      <w:r>
        <w:rPr/>
        <w:t>Discuss pricing strategies and methodologies and develop action plans to evaluate alternatives.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jc w:val="both"/>
        <w:rPr/>
      </w:pPr>
      <w:r>
        <w:rPr/>
        <w:t>Develop an operating model that will enable Enron to implement its business plan successfully.  This model will include major core processes and roles and responsibilities.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jc w:val="both"/>
        <w:rPr/>
      </w:pPr>
      <w:r>
        <w:rPr/>
        <w:t>Develop a 6-month action plan to successfully implement the business plan.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Upcoming Activities</w:t>
      </w:r>
    </w:p>
    <w:p>
      <w:pPr>
        <w:pStyle w:val="Normal"/>
        <w:numPr>
          <w:ilvl w:val="0"/>
          <w:numId w:val="3"/>
        </w:numPr>
        <w:tabs>
          <w:tab w:val="clear" w:pos="720"/>
        </w:tabs>
        <w:ind w:hanging="360" w:start="720" w:end="0"/>
        <w:rPr/>
      </w:pPr>
      <w:r>
        <w:rPr/>
        <w:t>Initial Sponsor Meeting, Friday, January 26</w:t>
      </w:r>
      <w:r>
        <w:rPr>
          <w:vertAlign w:val="superscript"/>
        </w:rPr>
        <w:t>th</w:t>
      </w:r>
      <w:r>
        <w:rPr/>
        <w:t xml:space="preserve"> in Houston</w:t>
      </w:r>
    </w:p>
    <w:p>
      <w:pPr>
        <w:pStyle w:val="Normal"/>
        <w:numPr>
          <w:ilvl w:val="0"/>
          <w:numId w:val="3"/>
        </w:numPr>
        <w:tabs>
          <w:tab w:val="clear" w:pos="720"/>
        </w:tabs>
        <w:ind w:hanging="360" w:start="720" w:end="0"/>
        <w:rPr/>
      </w:pPr>
      <w:r>
        <w:rPr/>
        <w:t>Confirm logistics and extend formal invitation</w:t>
      </w:r>
    </w:p>
    <w:p>
      <w:pPr>
        <w:pStyle w:val="Normal"/>
        <w:numPr>
          <w:ilvl w:val="0"/>
          <w:numId w:val="3"/>
        </w:numPr>
        <w:tabs>
          <w:tab w:val="clear" w:pos="720"/>
        </w:tabs>
        <w:ind w:hanging="360" w:start="720" w:end="0"/>
        <w:rPr/>
      </w:pPr>
      <w:r>
        <w:rPr/>
        <w:t>Begin data gathering</w:t>
      </w:r>
    </w:p>
    <w:p>
      <w:pPr>
        <w:pStyle w:val="Normal"/>
        <w:numPr>
          <w:ilvl w:val="0"/>
          <w:numId w:val="3"/>
        </w:numPr>
        <w:tabs>
          <w:tab w:val="clear" w:pos="720"/>
        </w:tabs>
        <w:ind w:hanging="360" w:start="720" w:end="0"/>
        <w:rPr/>
      </w:pPr>
      <w:r>
        <w:rPr/>
        <w:t>Develop pre-read materials</w:t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/>
      </w:r>
    </w:p>
    <w:p>
      <w:pPr>
        <w:pStyle w:val="Heading1"/>
        <w:tabs>
          <w:tab w:val="clear" w:pos="720"/>
          <w:tab w:val="left" w:pos="360" w:leader="none"/>
        </w:tabs>
        <w:ind w:hanging="0" w:start="0"/>
        <w:rPr/>
      </w:pPr>
      <w:r>
        <w:rPr/>
        <w:t>Observations from Off-Site on Friday, January 12</w:t>
      </w:r>
    </w:p>
    <w:p>
      <w:pPr>
        <w:pStyle w:val="Normal"/>
        <w:tabs>
          <w:tab w:val="clear" w:pos="720"/>
          <w:tab w:val="left" w:pos="360" w:leader="none"/>
        </w:tabs>
        <w:rPr>
          <w:i/>
          <w:i/>
        </w:rPr>
      </w:pPr>
      <w:r>
        <w:rPr>
          <w:i/>
        </w:rPr>
        <w:t>Possible information to gather before the ASE Studio: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360" w:start="720" w:end="0"/>
        <w:rPr/>
      </w:pPr>
      <w:r>
        <w:rPr/>
        <w:t>Stratification of counterparties similar to the Market Intelligence packet presented at the Jan 12</w:t>
      </w:r>
      <w:r>
        <w:rPr>
          <w:vertAlign w:val="superscript"/>
        </w:rPr>
        <w:t>th</w:t>
      </w:r>
      <w:r>
        <w:rPr/>
        <w:t xml:space="preserve"> offsite but with the following data: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360" w:start="1800" w:end="0"/>
        <w:rPr/>
      </w:pPr>
      <w:r>
        <w:rPr/>
        <w:t>Size or volume of transactions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360" w:start="1800" w:end="0"/>
        <w:rPr/>
      </w:pPr>
      <w:r>
        <w:rPr/>
        <w:t>Complexity of transactions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360" w:start="1800" w:end="0"/>
        <w:rPr/>
      </w:pPr>
      <w:r>
        <w:rPr/>
        <w:t>Total counterparty transaction volume – not just trades with Enron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360" w:start="720" w:end="0"/>
        <w:rPr/>
      </w:pPr>
      <w:r>
        <w:rPr/>
        <w:t>Additional information on counterparties or potential customers: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360" w:start="1080" w:end="0"/>
        <w:rPr/>
      </w:pPr>
      <w:r>
        <w:rPr/>
        <w:t>Transaction complexity/level of sophistication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360" w:start="1080" w:end="0"/>
        <w:rPr/>
      </w:pPr>
      <w:r>
        <w:rPr/>
        <w:t>Type of trading and transaction processing systems used (i.e., off the shelf, custom developed in house, etc)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360" w:start="1080" w:end="0"/>
        <w:rPr/>
      </w:pPr>
      <w:r>
        <w:rPr/>
        <w:t>Mid and back office cost structure of “prospects” or potential customers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360" w:start="1080" w:end="0"/>
        <w:rPr/>
      </w:pPr>
      <w:r>
        <w:rPr/>
        <w:t>Who is in the most “pain” – small companies with large growth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360" w:start="720" w:end="0"/>
        <w:rPr/>
      </w:pPr>
      <w:r>
        <w:rPr/>
        <w:t>Prospect list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360" w:start="720" w:end="0"/>
        <w:rPr/>
      </w:pPr>
      <w:r>
        <w:rPr/>
        <w:t>Possible competitors for the proposed market and their target service offerings and timing (i.e., Aquila valuation and structuring model)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360" w:start="720" w:end="0"/>
        <w:rPr/>
      </w:pPr>
      <w:r>
        <w:rPr/>
        <w:t>Information on any deals where Enron is already providing the proposed services (i.e., Calgary?)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360" w:start="720" w:end="0"/>
        <w:rPr/>
      </w:pPr>
      <w:r>
        <w:rPr/>
        <w:t>Case study on Enron On-line including attributes that made the initiative successful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360" w:start="720" w:end="0"/>
        <w:rPr/>
      </w:pPr>
      <w:r>
        <w:rPr/>
        <w:t>Information on CommodityLogic, Contract Exchange (?) and EnergyDesk.com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360" w:start="720" w:end="0"/>
        <w:rPr/>
      </w:pPr>
      <w:r>
        <w:rPr/>
        <w:t>Output from Jan 12</w:t>
      </w:r>
      <w:r>
        <w:rPr>
          <w:vertAlign w:val="superscript"/>
        </w:rPr>
        <w:t>th</w:t>
      </w:r>
      <w:r>
        <w:rPr/>
        <w:t xml:space="preserve"> session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Questions to consider for ASE Studio: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What will be the marketing focus?  Cost reduction?  Capital redeployment?  Efficiency or accuracy improvements?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What services do we not have today that would be value added to Enron or third parties?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Would we approach companies to perform an initial cost assessment?  Would we charge for this service or use it as a marketing tool?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Would we limit our “customer” base to existing Enron counterparties or any trading organization?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What will it take to get Energy Ops comfortable working in the new environment (i.e., an environment of "creating the short and figuring out how to cover it”)?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Would we let customers use Enron proprietary systems?  If not, how would we integrate their legacy systems?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How can offering services to third parties help Enron – other than through revenue generation?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Are there companies or BU’s within the Enron umbrella that could use the services of Energy Ops?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What other Enron BU’s or people might have info on our potential customers?  How can we identify them, gather the information and involve them in the process?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What risks are we creating for Enron?  How should we manage them?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How does Energy Ops overcome opposition from customers to “big Enron” providing services or having access to sensitive or strategically significant data?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What is the profile of the “perfect customer”?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What is the first win?  What can we book in 2Q01?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What services would we not be able to offer because we aren’t good at providing them (lease records, DOI, etc.)?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What is the possible implication to Enron’s competitive advantage of pursuing this strategy?  Does offering services to third parties compromise the competitive advantage?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What is the new business model?  Full outsourcing of STP?  Modular service offering?  ASP?  Consulting services?  Custom system development?  Other?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How could the possible services of Energy Ops be bundled with services of other Enron BU’s (like EES) to create more value for the customers and Enron?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What cultural shifts would have to happen for Energy Ops to be successful?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Would you be willing to permanently give up your best employee to make this initiative succeed?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What markets would we serve?  Energy trading or financial institutions?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Would you consider joint venture or equity arrangements with your customers?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If Duke outsourced STP to Energy Ops next week, how would you get the resources to provide the work?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How will you charge for your services?  Will it vary by service or customer?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What marketing do we have to undertake internally to raise awareness and build commitment to the new Energy Ops strategy?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What other Enron organizations are out marketing similar products or services to customers?  How should we coordinate with them?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720" w:end="0"/>
        <w:rPr/>
      </w:pPr>
      <w:r>
        <w:rPr/>
        <w:t>How should we change the industry – the processes, mindsets and practices?</w:t>
      </w:r>
    </w:p>
    <w:p>
      <w:pPr>
        <w:pStyle w:val="Normal"/>
        <w:tabs>
          <w:tab w:val="clear" w:pos="720"/>
          <w:tab w:val="left" w:pos="360" w:leader="none"/>
        </w:tabs>
        <w:ind w:firstLine="360" w:end="0"/>
        <w:rPr/>
      </w:pPr>
      <w:r>
        <w:rPr/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00000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00000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000000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</w:rPr>
  </w:style>
  <w:style w:type="character" w:styleId="WW8Num1z0">
    <w:name w:val="WW8Num1z0"/>
    <w:qFormat/>
    <w:rPr>
      <w:rFonts w:ascii="Symbol" w:hAnsi="Symbol" w:cs="Symbol"/>
      <w:color w:val="000000"/>
    </w:rPr>
  </w:style>
  <w:style w:type="character" w:styleId="WW8Num2z0">
    <w:name w:val="WW8Num2z0"/>
    <w:qFormat/>
    <w:rPr>
      <w:rFonts w:ascii="Symbol" w:hAnsi="Symbol" w:cs="Symbol"/>
      <w:color w:val="000000"/>
    </w:rPr>
  </w:style>
  <w:style w:type="character" w:styleId="WW8Num3z0">
    <w:name w:val="WW8Num3z0"/>
    <w:qFormat/>
    <w:rPr>
      <w:rFonts w:ascii="Symbol" w:hAnsi="Symbol" w:cs="Symbol"/>
      <w:color w:val="000000"/>
    </w:rPr>
  </w:style>
  <w:style w:type="character" w:styleId="WW8Num4z0">
    <w:name w:val="WW8Num4z0"/>
    <w:qFormat/>
    <w:rPr>
      <w:rFonts w:ascii="Symbol" w:hAnsi="Symbol" w:cs="Symbol"/>
      <w:color w:val="000000"/>
    </w:rPr>
  </w:style>
  <w:style w:type="character" w:styleId="WW8Num5z0">
    <w:name w:val="WW8Num5z0"/>
    <w:qFormat/>
    <w:rPr>
      <w:rFonts w:ascii="Symbol" w:hAnsi="Symbol" w:cs="Symbol"/>
      <w:color w:val="00000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2001-01-17T14:53:00Z</dcterms:created>
  <dc:creator>Lisa Petruszka 3-4388</dc:creator>
  <dc:description/>
  <dc:language>en-CA</dc:language>
  <cp:lastModifiedBy>Lisa Petruszka 3-4388</cp:lastModifiedBy>
  <dcterms:modified xsi:type="dcterms:W3CDTF">2001-01-17T18:25:00Z</dcterms:modified>
  <cp:revision>9</cp:revision>
  <dc:subject/>
  <dc:title>Enron Energy Operations ASE Studio Workshop</dc:title>
</cp:coreProperties>
</file>