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680"/>
          <w:tab w:val="clear" w:pos="9360"/>
        </w:tabs>
        <w:jc w:val="both"/>
        <w:rPr>
          <w:b/>
          <w:sz w:val="23"/>
          <w:u w:val="single"/>
        </w:rPr>
      </w:pPr>
      <w:r>
        <w:rPr>
          <w:sz w:val="23"/>
        </w:rPr>
        <w:t xml:space="preserve">This Provider Agreement combined with the EnergyGateway General Terms and Conditions represents the complete agreement and understanding between EnergyGateway.com, LLC, d.b.a. EnergyGateway (EnergyGateway) and the account Provider or the account Provider’s Agent (Provider) for EnergyGateway’s Software Utilization and supersedes any other written or oral agreement between such parties, regarding the subject matter hereof. The EnergyGateway Internet System (“System”) is designed to provide an e-commerce medium for Providers and Consumers of natural gas to transact business in an efficient manner. </w:t>
      </w:r>
    </w:p>
    <w:p>
      <w:pPr>
        <w:pStyle w:val="Normal"/>
        <w:rPr>
          <w:b/>
          <w:sz w:val="23"/>
          <w:u w:val="single"/>
        </w:rPr>
      </w:pPr>
      <w:r>
        <w:rPr>
          <w:b/>
          <w:sz w:val="23"/>
          <w:u w:val="single"/>
        </w:rPr>
      </w:r>
    </w:p>
    <w:p>
      <w:pPr>
        <w:pStyle w:val="Normal"/>
        <w:rPr>
          <w:b/>
          <w:sz w:val="23"/>
        </w:rPr>
      </w:pPr>
      <w:r>
        <w:rPr>
          <w:b/>
          <w:sz w:val="23"/>
          <w:u w:val="single"/>
        </w:rPr>
        <w:t>TERM OF MEMBERSHIP:</w:t>
      </w:r>
      <w:r>
        <w:rPr>
          <w:b/>
          <w:sz w:val="23"/>
        </w:rPr>
        <w:t xml:space="preserve">      </w:t>
      </w:r>
      <w:r>
        <w:rPr>
          <w:bCs/>
          <w:sz w:val="23"/>
          <w:u w:val="single"/>
        </w:rPr>
        <w:t>November 30, 2000</w:t>
      </w:r>
      <w:r>
        <w:rPr>
          <w:bCs/>
          <w:sz w:val="23"/>
        </w:rPr>
        <w:t xml:space="preserve"> to  </w:t>
      </w:r>
      <w:r>
        <w:rPr>
          <w:bCs/>
          <w:sz w:val="23"/>
          <w:u w:val="single"/>
        </w:rPr>
        <w:t>May 31, 2001</w:t>
      </w:r>
      <w:r>
        <w:rPr>
          <w:b/>
          <w:sz w:val="23"/>
        </w:rPr>
        <w:t xml:space="preserve"> </w:t>
      </w:r>
      <w:r>
        <w:rPr>
          <w:sz w:val="23"/>
        </w:rPr>
        <w:t>and month to month thereafter until either party provides the other party with a 30-day advance notice of termination.</w:t>
      </w:r>
    </w:p>
    <w:p>
      <w:pPr>
        <w:pStyle w:val="Normal"/>
        <w:jc w:val="both"/>
        <w:rPr>
          <w:b/>
          <w:sz w:val="23"/>
          <w:u w:val="single"/>
        </w:rPr>
      </w:pPr>
      <w:r>
        <w:rPr>
          <w:b/>
          <w:sz w:val="23"/>
          <w:u w:val="single"/>
        </w:rPr>
      </w:r>
    </w:p>
    <w:p>
      <w:pPr>
        <w:pStyle w:val="Normal"/>
        <w:jc w:val="both"/>
        <w:rPr/>
      </w:pPr>
      <w:r>
        <w:rPr>
          <w:b/>
          <w:sz w:val="23"/>
          <w:u w:val="single"/>
        </w:rPr>
        <w:t>PROVIDER MEMBERSHIP RATES:</w:t>
      </w:r>
      <w:r>
        <w:rPr>
          <w:sz w:val="23"/>
          <w:u w:val="single"/>
        </w:rPr>
        <w:t xml:space="preserve"> Rates Effective September 1, 1999:</w:t>
      </w:r>
    </w:p>
    <w:p>
      <w:pPr>
        <w:pStyle w:val="Normal"/>
        <w:jc w:val="both"/>
        <w:rPr>
          <w:sz w:val="23"/>
          <w:u w:val="single"/>
        </w:rPr>
      </w:pPr>
      <w:r>
        <w:rPr>
          <w:sz w:val="23"/>
          <w:u w:val="single"/>
        </w:rPr>
      </w:r>
    </w:p>
    <w:p>
      <w:pPr>
        <w:pStyle w:val="Normal"/>
        <w:rPr/>
      </w:pPr>
      <w:r>
        <w:rPr>
          <w:rFonts w:eastAsia="Symbol" w:cs="Symbol" w:ascii="Symbol" w:hAnsi="Symbol"/>
          <w:b/>
          <w:sz w:val="23"/>
        </w:rPr>
        <w:sym w:font="Symbol" w:char="f0b7"/>
      </w:r>
      <w:r>
        <w:rPr>
          <w:b/>
          <w:sz w:val="23"/>
        </w:rPr>
        <w:t xml:space="preserve"> </w:t>
      </w:r>
      <w:r>
        <w:rPr>
          <w:b/>
          <w:sz w:val="23"/>
        </w:rPr>
        <w:t xml:space="preserve">Please select </w:t>
      </w:r>
      <w:r>
        <w:rPr>
          <w:b/>
          <w:sz w:val="23"/>
          <w:u w:val="single"/>
        </w:rPr>
        <w:t>Nationwide,</w:t>
      </w:r>
      <w:r>
        <w:rPr>
          <w:b/>
          <w:sz w:val="23"/>
        </w:rPr>
        <w:t xml:space="preserve"> </w:t>
      </w:r>
      <w:r>
        <w:rPr>
          <w:b/>
          <w:sz w:val="23"/>
          <w:u w:val="single"/>
        </w:rPr>
        <w:t>Regional</w:t>
      </w:r>
      <w:r>
        <w:rPr>
          <w:b/>
          <w:sz w:val="23"/>
        </w:rPr>
        <w:t xml:space="preserve"> or </w:t>
      </w:r>
      <w:r>
        <w:rPr>
          <w:b/>
          <w:sz w:val="23"/>
          <w:u w:val="single"/>
        </w:rPr>
        <w:t>Niche</w:t>
      </w:r>
      <w:r>
        <w:rPr>
          <w:b/>
          <w:sz w:val="23"/>
        </w:rPr>
        <w:t xml:space="preserve"> Membership.</w:t>
      </w:r>
    </w:p>
    <w:p>
      <w:pPr>
        <w:pStyle w:val="Normal"/>
        <w:rPr/>
      </w:pPr>
      <w:r>
        <w:rPr>
          <w:i/>
          <w:sz w:val="23"/>
        </w:rPr>
        <w:t>It is acceptable for a Provider, uncertain of the timing of its transactions in multiple regions, to select Niche Membership initially.</w:t>
      </w:r>
      <w:r>
        <w:rPr>
          <w:b/>
          <w:i/>
          <w:sz w:val="23"/>
        </w:rPr>
        <w:t xml:space="preserve"> </w:t>
      </w:r>
      <w:r>
        <w:rPr>
          <w:sz w:val="23"/>
        </w:rPr>
        <w:t>If a Regional or Niche Provider submits an offer or bid and receives an award at a delivery point in a region other than the Region(s) selected in the Provider Agreement, Provider automatically changes the Membership to the next higher level with all rights and obligations.</w:t>
      </w:r>
    </w:p>
    <w:p>
      <w:pPr>
        <w:pStyle w:val="Normal"/>
        <w:rPr>
          <w:sz w:val="23"/>
        </w:rPr>
      </w:pPr>
      <w:r>
        <w:rPr>
          <w:sz w:val="23"/>
        </w:rPr>
      </w:r>
    </w:p>
    <w:p>
      <w:pPr>
        <w:pStyle w:val="Heading2"/>
        <w:numPr>
          <w:ilvl w:val="0"/>
          <w:numId w:val="2"/>
        </w:numPr>
        <w:rPr>
          <w:b w:val="false"/>
          <w:i w:val="false"/>
          <w:i w:val="false"/>
          <w:sz w:val="23"/>
        </w:rPr>
      </w:pPr>
      <w:r>
        <w:rPr>
          <w:sz w:val="23"/>
          <w:u w:val="single"/>
        </w:rPr>
        <w:t>Nationwide Provider Membership Fees (All 6 Regions)</w:t>
      </w:r>
      <w:r>
        <w:rPr>
          <w:sz w:val="23"/>
        </w:rPr>
        <w:t xml:space="preserve"> $1500 Monthly Fee.</w:t>
      </w:r>
      <w:r>
        <w:rPr>
          <w:rFonts w:eastAsia="Symbol" w:cs="Symbol" w:ascii="Symbol" w:hAnsi="Symbol"/>
          <w:sz w:val="23"/>
        </w:rPr>
        <w:sym w:font="Symbol" w:char="f02a"/>
      </w:r>
    </w:p>
    <w:p>
      <w:pPr>
        <w:pStyle w:val="Heading2"/>
        <w:ind w:hanging="0" w:start="0"/>
        <w:rPr>
          <w:sz w:val="23"/>
          <w:u w:val="single"/>
        </w:rPr>
      </w:pPr>
      <w:r>
        <w:rPr>
          <w:rFonts w:eastAsia="Symbol" w:cs="Symbol" w:ascii="Symbol" w:hAnsi="Symbol"/>
          <w:i w:val="false"/>
          <w:sz w:val="36"/>
          <w:u w:val="single"/>
        </w:rPr>
        <w:sym w:font="Symbol" w:char="f090"/>
      </w:r>
      <w:r>
        <w:rPr>
          <w:sz w:val="23"/>
          <w:u w:val="single"/>
        </w:rPr>
        <w:t xml:space="preserve">  </w:t>
      </w:r>
      <w:r>
        <w:rPr>
          <w:sz w:val="23"/>
          <w:u w:val="single"/>
        </w:rPr>
        <w:t>Regional Provider Membership Fees (Select 3 Regions below)</w:t>
      </w:r>
      <w:r>
        <w:rPr>
          <w:sz w:val="23"/>
        </w:rPr>
        <w:t xml:space="preserve"> $1000 Monthly Fee.</w:t>
      </w:r>
      <w:r>
        <w:rPr>
          <w:rFonts w:eastAsia="Symbol" w:cs="Symbol" w:ascii="Symbol" w:hAnsi="Symbol"/>
          <w:sz w:val="23"/>
        </w:rPr>
        <w:sym w:font="Symbol" w:char="f02a"/>
      </w:r>
    </w:p>
    <w:p>
      <w:pPr>
        <w:pStyle w:val="Heading2"/>
        <w:ind w:hanging="0" w:start="0"/>
        <w:rPr>
          <w:sz w:val="23"/>
          <w:u w:val="single"/>
        </w:rPr>
      </w:pPr>
      <w:r>
        <w:rPr>
          <w:rFonts w:eastAsia="Symbol" w:cs="Symbol" w:ascii="Symbol" w:hAnsi="Symbol"/>
          <w:i w:val="false"/>
          <w:sz w:val="36"/>
          <w:u w:val="single"/>
        </w:rPr>
        <w:sym w:font="Symbol" w:char="f090"/>
      </w:r>
      <w:r>
        <w:rPr>
          <w:sz w:val="23"/>
          <w:u w:val="single"/>
        </w:rPr>
        <w:t xml:space="preserve">  </w:t>
      </w:r>
      <w:r>
        <w:rPr>
          <w:sz w:val="23"/>
          <w:u w:val="single"/>
        </w:rPr>
        <w:t>Niche Provider Membership Fees (Select 1 Region below)</w:t>
      </w:r>
      <w:r>
        <w:rPr>
          <w:sz w:val="23"/>
        </w:rPr>
        <w:t xml:space="preserve"> $500 Monthly fee.</w:t>
      </w:r>
      <w:r>
        <w:rPr>
          <w:rFonts w:eastAsia="Symbol" w:cs="Symbol" w:ascii="Symbol" w:hAnsi="Symbol"/>
          <w:sz w:val="23"/>
        </w:rPr>
        <w:sym w:font="Symbol" w:char="f02a"/>
      </w:r>
    </w:p>
    <w:p>
      <w:pPr>
        <w:pStyle w:val="Footer"/>
        <w:tabs>
          <w:tab w:val="clear" w:pos="4680"/>
          <w:tab w:val="clear" w:pos="9360"/>
        </w:tabs>
        <w:ind w:firstLine="720" w:end="0"/>
        <w:rPr/>
      </w:pPr>
      <w:r>
        <w:rPr>
          <w:rFonts w:eastAsia="Monotype Sorts;ZapfDingbats" w:cs="Monotype Sorts;ZapfDingbats" w:ascii="Monotype Sorts;ZapfDingbats" w:hAnsi="Monotype Sorts;ZapfDingbats"/>
          <w:b/>
        </w:rPr>
        <w:sym w:font="Monotype Sorts;ZapfDingbats" w:char="f07f"/>
      </w:r>
      <w:r>
        <w:rPr>
          <w:sz w:val="23"/>
        </w:rPr>
        <w:t xml:space="preserve"> </w:t>
      </w:r>
      <w:r>
        <w:rPr>
          <w:sz w:val="23"/>
        </w:rPr>
        <w:t>Mid-continent</w:t>
        <w:tab/>
        <w:tab/>
      </w:r>
      <w:r>
        <w:rPr>
          <w:rFonts w:eastAsia="Monotype Sorts;ZapfDingbats" w:cs="Monotype Sorts;ZapfDingbats" w:ascii="Monotype Sorts;ZapfDingbats" w:hAnsi="Monotype Sorts;ZapfDingbats"/>
          <w:b/>
        </w:rPr>
        <w:sym w:font="Monotype Sorts;ZapfDingbats" w:char="f07f"/>
      </w:r>
      <w:r>
        <w:rPr>
          <w:sz w:val="23"/>
        </w:rPr>
        <w:t xml:space="preserve"> Midwest </w:t>
        <w:tab/>
        <w:tab/>
      </w:r>
      <w:r>
        <w:rPr>
          <w:rFonts w:eastAsia="Monotype Sorts;ZapfDingbats" w:cs="Monotype Sorts;ZapfDingbats" w:ascii="Monotype Sorts;ZapfDingbats" w:hAnsi="Monotype Sorts;ZapfDingbats"/>
          <w:b/>
        </w:rPr>
        <w:sym w:font="Monotype Sorts;ZapfDingbats" w:char="f07f"/>
      </w:r>
      <w:r>
        <w:rPr>
          <w:sz w:val="23"/>
        </w:rPr>
        <w:t xml:space="preserve"> Northeast</w:t>
      </w:r>
    </w:p>
    <w:p>
      <w:pPr>
        <w:pStyle w:val="Footer"/>
        <w:tabs>
          <w:tab w:val="clear" w:pos="4680"/>
          <w:tab w:val="clear" w:pos="9360"/>
        </w:tabs>
        <w:ind w:firstLine="720" w:end="0"/>
        <w:rPr/>
      </w:pPr>
      <w:r>
        <w:rPr>
          <w:rFonts w:eastAsia="Monotype Sorts;ZapfDingbats" w:cs="Monotype Sorts;ZapfDingbats" w:ascii="Monotype Sorts;ZapfDingbats" w:hAnsi="Monotype Sorts;ZapfDingbats"/>
          <w:b/>
        </w:rPr>
        <w:sym w:font="Monotype Sorts;ZapfDingbats" w:char="f07f"/>
      </w:r>
      <w:r>
        <w:rPr>
          <w:sz w:val="23"/>
        </w:rPr>
        <w:t xml:space="preserve"> </w:t>
      </w:r>
      <w:r>
        <w:rPr>
          <w:sz w:val="23"/>
        </w:rPr>
        <w:t>Southeast</w:t>
        <w:tab/>
        <w:tab/>
        <w:tab/>
      </w:r>
      <w:r>
        <w:rPr>
          <w:rFonts w:eastAsia="Monotype Sorts;ZapfDingbats" w:cs="Monotype Sorts;ZapfDingbats" w:ascii="Monotype Sorts;ZapfDingbats" w:hAnsi="Monotype Sorts;ZapfDingbats"/>
          <w:b/>
        </w:rPr>
        <w:sym w:font="Monotype Sorts;ZapfDingbats" w:char="f07f"/>
      </w:r>
      <w:r>
        <w:rPr>
          <w:sz w:val="23"/>
        </w:rPr>
        <w:t xml:space="preserve"> Southwest</w:t>
        <w:tab/>
        <w:tab/>
      </w:r>
      <w:r>
        <w:rPr>
          <w:rFonts w:eastAsia="Monotype Sorts;ZapfDingbats" w:cs="Monotype Sorts;ZapfDingbats" w:ascii="Monotype Sorts;ZapfDingbats" w:hAnsi="Monotype Sorts;ZapfDingbats"/>
          <w:b/>
        </w:rPr>
        <w:sym w:font="Monotype Sorts;ZapfDingbats" w:char="f07f"/>
      </w:r>
      <w:r>
        <w:rPr>
          <w:sz w:val="23"/>
        </w:rPr>
        <w:t xml:space="preserve"> West</w:t>
      </w:r>
    </w:p>
    <w:p>
      <w:pPr>
        <w:pStyle w:val="Normal"/>
        <w:rPr>
          <w:sz w:val="23"/>
        </w:rPr>
      </w:pPr>
      <w:r>
        <w:rPr>
          <w:sz w:val="23"/>
        </w:rPr>
      </w:r>
    </w:p>
    <w:p>
      <w:pPr>
        <w:pStyle w:val="Normal"/>
        <w:rPr>
          <w:sz w:val="23"/>
        </w:rPr>
      </w:pPr>
      <w:r>
        <w:rPr>
          <w:rFonts w:eastAsia="Symbol" w:cs="Symbol" w:ascii="Symbol" w:hAnsi="Symbol"/>
          <w:sz w:val="23"/>
        </w:rPr>
        <w:sym w:font="Symbol" w:char="f0b7"/>
      </w:r>
      <w:r>
        <w:rPr>
          <w:sz w:val="23"/>
        </w:rPr>
        <w:t xml:space="preserve"> </w:t>
      </w:r>
      <w:r>
        <w:rPr>
          <w:sz w:val="23"/>
        </w:rPr>
        <w:t>Provider has the right to sell and buy natural gas supplies. Provider may sell or buy by submitting an offer or bid to another Member’s posting or by creating a posting in the Provider’s name.</w:t>
      </w:r>
      <w:r>
        <w:rPr>
          <w:rFonts w:eastAsia="Symbol" w:cs="Symbol" w:ascii="Symbol" w:hAnsi="Symbol"/>
          <w:sz w:val="23"/>
        </w:rPr>
        <w:sym w:font="Symbol" w:char="f02a"/>
        <w:sym w:font="Symbol" w:char="f02a"/>
      </w:r>
    </w:p>
    <w:p>
      <w:pPr>
        <w:pStyle w:val="Normal"/>
        <w:rPr>
          <w:sz w:val="23"/>
        </w:rPr>
      </w:pPr>
      <w:r>
        <w:rPr>
          <w:sz w:val="23"/>
        </w:rPr>
      </w:r>
    </w:p>
    <w:p>
      <w:pPr>
        <w:pStyle w:val="Normal"/>
        <w:jc w:val="both"/>
        <w:rPr/>
      </w:pPr>
      <w:r>
        <w:rPr>
          <w:b/>
          <w:i/>
          <w:sz w:val="23"/>
        </w:rPr>
        <w:t>*</w:t>
      </w:r>
      <w:r>
        <w:rPr>
          <w:b/>
          <w:i/>
          <w:sz w:val="23"/>
          <w:u w:val="single"/>
        </w:rPr>
        <w:t>The Monthly Membership Fee is waived for the first 6 months.</w:t>
      </w:r>
      <w:r>
        <w:rPr>
          <w:b/>
          <w:i/>
          <w:sz w:val="23"/>
        </w:rPr>
        <w:t xml:space="preserve"> The Provider is not obligated to sell or purchase any natural gas through EnergyGateway. Any Monthly Membership Fees due will be invoiced on a monthly basis. See Attachment ‘A’ for Regions.</w:t>
      </w:r>
    </w:p>
    <w:p>
      <w:pPr>
        <w:pStyle w:val="Normal"/>
        <w:rPr>
          <w:b/>
          <w:i/>
          <w:i/>
          <w:sz w:val="23"/>
        </w:rPr>
      </w:pPr>
      <w:r>
        <w:rPr>
          <w:b/>
          <w:i/>
          <w:sz w:val="23"/>
        </w:rPr>
      </w:r>
    </w:p>
    <w:p>
      <w:pPr>
        <w:pStyle w:val="Normal"/>
        <w:rPr>
          <w:sz w:val="23"/>
        </w:rPr>
      </w:pPr>
      <w:r>
        <w:rPr>
          <w:b/>
          <w:i/>
          <w:sz w:val="23"/>
        </w:rPr>
        <w:t>**A transaction fee of $.0025 per MMBtu shall apply to Provider in each transaction Provider is the selling party, based on posted volumes. A transaction fee of $.0005 per MMBtu shall apply to Provider in each transaction Provider is the buying party, based on posted volumes.</w:t>
      </w:r>
    </w:p>
    <w:p>
      <w:pPr>
        <w:pStyle w:val="Normal"/>
        <w:rPr>
          <w:sz w:val="23"/>
        </w:rPr>
      </w:pPr>
      <w:r>
        <w:rPr>
          <w:sz w:val="23"/>
        </w:rPr>
      </w:r>
    </w:p>
    <w:p>
      <w:pPr>
        <w:pStyle w:val="Normal"/>
        <w:jc w:val="both"/>
        <w:rPr/>
      </w:pPr>
      <w:r>
        <w:rPr>
          <w:b/>
          <w:i/>
          <w:sz w:val="23"/>
          <w:u w:val="single"/>
        </w:rPr>
        <w:t>SATISFACTION ‘MONEY BACK’ GUARANTEE - POLICY:</w:t>
      </w:r>
      <w:r>
        <w:rPr>
          <w:sz w:val="23"/>
        </w:rPr>
        <w:t xml:space="preserve"> For absolutely any reason, Provider has the right to terminate the Provider Agreement with EnergyGateway within 90 days from the accepted date by EnergyGateway. Termination requests for EnergyGateway accounts must be received via email, fax or postal service. A full refund of any collected monthly membership fees will be made to Provider within 30 days of receipt of Provider’s Termination Request.</w:t>
      </w:r>
      <w:r>
        <w:rPr>
          <w:b/>
          <w:sz w:val="23"/>
        </w:rPr>
        <w:t xml:space="preserve"> </w:t>
      </w:r>
    </w:p>
    <w:p>
      <w:pPr>
        <w:pStyle w:val="Normal"/>
        <w:rPr>
          <w:b/>
          <w:sz w:val="23"/>
        </w:rPr>
      </w:pPr>
      <w:r>
        <w:rPr>
          <w:b/>
          <w:sz w:val="23"/>
        </w:rPr>
      </w:r>
    </w:p>
    <w:p>
      <w:pPr>
        <w:pStyle w:val="Heading5"/>
        <w:ind w:hanging="0" w:start="0"/>
        <w:rPr>
          <w:sz w:val="23"/>
        </w:rPr>
      </w:pPr>
      <w:r>
        <w:rPr>
          <w:sz w:val="23"/>
        </w:rPr>
        <w:t>Notices</w:t>
      </w:r>
    </w:p>
    <w:p>
      <w:pPr>
        <w:pStyle w:val="BodyTextIndent"/>
        <w:spacing w:lineRule="auto" w:line="240"/>
        <w:ind w:hanging="0" w:end="0"/>
        <w:rPr>
          <w:sz w:val="23"/>
        </w:rPr>
      </w:pPr>
      <w:r>
        <w:rPr>
          <w:sz w:val="23"/>
        </w:rPr>
        <w:t>All payments, invoices, notices and correspondence made pursuant to this Contract shall be forwarded to the applicable address as follows:</w:t>
      </w:r>
    </w:p>
    <w:p>
      <w:pPr>
        <w:pStyle w:val="BodyTextIndent"/>
        <w:spacing w:lineRule="auto" w:line="240"/>
        <w:ind w:hanging="0" w:end="0"/>
        <w:rPr>
          <w:sz w:val="23"/>
        </w:rPr>
      </w:pPr>
      <w:r>
        <w:rPr>
          <w:sz w:val="23"/>
        </w:rPr>
      </w:r>
    </w:p>
    <w:p>
      <w:pPr>
        <w:pStyle w:val="Normal"/>
        <w:spacing w:lineRule="auto" w:line="360"/>
        <w:jc w:val="both"/>
        <w:rPr/>
      </w:pPr>
      <w:r>
        <w:rPr>
          <w:b/>
          <w:sz w:val="23"/>
          <w:u w:val="single"/>
        </w:rPr>
        <w:t>NOTICES:</w:t>
      </w:r>
      <w:r>
        <w:rPr>
          <w:b/>
          <w:sz w:val="23"/>
        </w:rPr>
        <w:tab/>
        <w:tab/>
        <w:tab/>
        <w:tab/>
        <w:tab/>
        <w:tab/>
      </w:r>
      <w:r>
        <w:rPr>
          <w:b/>
          <w:sz w:val="23"/>
          <w:u w:val="single"/>
        </w:rPr>
        <w:t>NOTICES:</w:t>
      </w:r>
    </w:p>
    <w:p>
      <w:pPr>
        <w:pStyle w:val="Normal"/>
        <w:jc w:val="both"/>
        <w:rPr>
          <w:sz w:val="23"/>
        </w:rPr>
      </w:pPr>
      <w:r>
        <w:rPr>
          <w:sz w:val="23"/>
        </w:rPr>
        <w:t>EnergyGateway.com, LLC</w:t>
        <w:tab/>
        <w:tab/>
        <w:tab/>
        <w:tab/>
        <w:t>Enron North America Corp.</w:t>
      </w:r>
    </w:p>
    <w:p>
      <w:pPr>
        <w:pStyle w:val="Normal"/>
        <w:jc w:val="both"/>
        <w:rPr>
          <w:sz w:val="23"/>
        </w:rPr>
      </w:pPr>
      <w:r>
        <w:rPr>
          <w:sz w:val="23"/>
        </w:rPr>
        <w:t>6343 Presidential Gateway, Suite 140</w:t>
        <w:tab/>
        <w:tab/>
        <w:tab/>
        <w:t>1400 Smith Street</w:t>
      </w:r>
    </w:p>
    <w:p>
      <w:pPr>
        <w:pStyle w:val="Normal"/>
        <w:jc w:val="both"/>
        <w:rPr>
          <w:sz w:val="23"/>
        </w:rPr>
      </w:pPr>
      <w:r>
        <w:rPr>
          <w:sz w:val="23"/>
        </w:rPr>
        <w:t>Columbus OH 43231</w:t>
        <w:tab/>
        <w:tab/>
        <w:tab/>
        <w:tab/>
        <w:tab/>
        <w:t>Houston, Texas 77002</w:t>
      </w:r>
    </w:p>
    <w:p>
      <w:pPr>
        <w:pStyle w:val="Normal"/>
        <w:jc w:val="both"/>
        <w:rPr>
          <w:sz w:val="23"/>
        </w:rPr>
      </w:pPr>
      <w:r>
        <w:rPr>
          <w:sz w:val="23"/>
        </w:rPr>
        <w:t>Attn: Customer Service Department</w:t>
        <w:tab/>
        <w:tab/>
        <w:tab/>
        <w:t>Attn: Sheri Thomas</w:t>
      </w:r>
    </w:p>
    <w:p>
      <w:pPr>
        <w:pStyle w:val="Normal"/>
        <w:jc w:val="both"/>
        <w:rPr>
          <w:sz w:val="23"/>
        </w:rPr>
      </w:pPr>
      <w:r>
        <w:rPr>
          <w:sz w:val="23"/>
        </w:rPr>
        <w:t>Telephone: (614) 899-2900</w:t>
        <w:tab/>
        <w:tab/>
        <w:tab/>
        <w:tab/>
        <w:t>Telephone: (713) 853-6557</w:t>
      </w:r>
    </w:p>
    <w:p>
      <w:pPr>
        <w:pStyle w:val="Normal"/>
        <w:jc w:val="both"/>
        <w:rPr>
          <w:sz w:val="23"/>
        </w:rPr>
      </w:pPr>
      <w:r>
        <w:rPr>
          <w:sz w:val="23"/>
        </w:rPr>
        <w:t>Facsimile:  (614) 899-2922</w:t>
        <w:tab/>
        <w:tab/>
        <w:tab/>
        <w:tab/>
        <w:t>Facsimile: (713) 646-8511</w:t>
      </w:r>
    </w:p>
    <w:p>
      <w:pPr>
        <w:pStyle w:val="Normal"/>
        <w:spacing w:lineRule="auto" w:line="360"/>
        <w:jc w:val="both"/>
        <w:rPr/>
      </w:pPr>
      <w:hyperlink r:id="rId2">
        <w:r>
          <w:rPr>
            <w:rStyle w:val="Hyperlink"/>
            <w:sz w:val="23"/>
          </w:rPr>
          <w:t>mjergens@energygateway.com</w:t>
        </w:r>
      </w:hyperlink>
      <w:r>
        <w:rPr>
          <w:sz w:val="23"/>
        </w:rPr>
        <w:tab/>
        <w:tab/>
        <w:tab/>
      </w:r>
    </w:p>
    <w:p>
      <w:pPr>
        <w:pStyle w:val="Normal"/>
        <w:jc w:val="both"/>
        <w:rPr>
          <w:bCs/>
          <w:sz w:val="23"/>
        </w:rPr>
      </w:pPr>
      <w:r>
        <w:rPr>
          <w:bCs/>
          <w:sz w:val="23"/>
        </w:rPr>
        <w:tab/>
        <w:tab/>
        <w:tab/>
        <w:tab/>
        <w:tab/>
        <w:tab/>
        <w:tab/>
        <w:t>SEND ANY DEFAULT NOTICE TO:</w:t>
      </w:r>
    </w:p>
    <w:p>
      <w:pPr>
        <w:pStyle w:val="Normal"/>
        <w:jc w:val="both"/>
        <w:rPr>
          <w:bCs/>
          <w:sz w:val="23"/>
        </w:rPr>
      </w:pPr>
      <w:r>
        <w:rPr>
          <w:bCs/>
          <w:sz w:val="23"/>
        </w:rPr>
        <w:tab/>
        <w:tab/>
        <w:tab/>
        <w:tab/>
        <w:tab/>
        <w:tab/>
        <w:tab/>
        <w:t>Enron North America Corp.</w:t>
      </w:r>
    </w:p>
    <w:p>
      <w:pPr>
        <w:pStyle w:val="Normal"/>
        <w:jc w:val="both"/>
        <w:rPr>
          <w:bCs/>
          <w:sz w:val="23"/>
        </w:rPr>
      </w:pPr>
      <w:r>
        <w:rPr>
          <w:bCs/>
          <w:sz w:val="23"/>
        </w:rPr>
        <w:tab/>
        <w:tab/>
        <w:tab/>
        <w:tab/>
        <w:tab/>
        <w:tab/>
        <w:tab/>
        <w:t>1400 Smith Street</w:t>
      </w:r>
    </w:p>
    <w:p>
      <w:pPr>
        <w:pStyle w:val="Normal"/>
        <w:jc w:val="both"/>
        <w:rPr>
          <w:bCs/>
          <w:sz w:val="23"/>
        </w:rPr>
      </w:pPr>
      <w:r>
        <w:rPr>
          <w:bCs/>
          <w:sz w:val="23"/>
        </w:rPr>
        <w:tab/>
        <w:tab/>
        <w:tab/>
        <w:tab/>
        <w:tab/>
        <w:tab/>
        <w:tab/>
        <w:t>Houston, Texas  77002</w:t>
      </w:r>
    </w:p>
    <w:p>
      <w:pPr>
        <w:pStyle w:val="Normal"/>
        <w:jc w:val="both"/>
        <w:rPr/>
      </w:pPr>
      <w:r>
        <w:rPr>
          <w:bCs/>
          <w:sz w:val="23"/>
        </w:rPr>
        <w:tab/>
        <w:tab/>
        <w:tab/>
        <w:tab/>
        <w:tab/>
        <w:tab/>
        <w:tab/>
      </w:r>
      <w:r>
        <w:rPr>
          <w:sz w:val="23"/>
        </w:rPr>
        <w:t>Attn: Vice President and Ass’t General</w:t>
      </w:r>
    </w:p>
    <w:p>
      <w:pPr>
        <w:pStyle w:val="Normal"/>
        <w:ind w:start="5040" w:end="0"/>
        <w:jc w:val="both"/>
        <w:rPr>
          <w:sz w:val="23"/>
        </w:rPr>
      </w:pPr>
      <w:r>
        <w:rPr>
          <w:sz w:val="23"/>
        </w:rPr>
        <w:t>Counsel</w:t>
      </w:r>
    </w:p>
    <w:p>
      <w:pPr>
        <w:pStyle w:val="Normal"/>
        <w:ind w:firstLine="720" w:start="3600" w:end="0"/>
        <w:jc w:val="both"/>
        <w:rPr>
          <w:bCs/>
          <w:sz w:val="23"/>
        </w:rPr>
      </w:pPr>
      <w:r>
        <w:rPr>
          <w:sz w:val="23"/>
        </w:rPr>
        <w:tab/>
        <w:t>Facsimile:  (713) 646-4818</w:t>
      </w:r>
    </w:p>
    <w:p>
      <w:pPr>
        <w:pStyle w:val="Normal"/>
        <w:spacing w:lineRule="auto" w:line="360"/>
        <w:jc w:val="both"/>
        <w:rPr>
          <w:bCs/>
          <w:sz w:val="23"/>
        </w:rPr>
      </w:pPr>
      <w:r>
        <w:rPr>
          <w:bCs/>
          <w:sz w:val="23"/>
        </w:rPr>
        <w:tab/>
        <w:tab/>
        <w:tab/>
        <w:tab/>
        <w:tab/>
        <w:tab/>
        <w:tab/>
      </w:r>
    </w:p>
    <w:p>
      <w:pPr>
        <w:pStyle w:val="Normal"/>
        <w:spacing w:lineRule="auto" w:line="360"/>
        <w:jc w:val="both"/>
        <w:rPr>
          <w:b/>
          <w:sz w:val="23"/>
        </w:rPr>
      </w:pPr>
      <w:r>
        <w:rPr>
          <w:b/>
          <w:sz w:val="23"/>
          <w:u w:val="single"/>
        </w:rPr>
        <w:t>INVOICES:</w:t>
      </w:r>
      <w:r>
        <w:rPr>
          <w:b/>
          <w:sz w:val="23"/>
        </w:rPr>
        <w:tab/>
        <w:tab/>
        <w:tab/>
        <w:tab/>
        <w:tab/>
        <w:tab/>
      </w:r>
      <w:r>
        <w:rPr>
          <w:b/>
          <w:sz w:val="23"/>
          <w:u w:val="single"/>
        </w:rPr>
        <w:t>INVOICES:</w:t>
      </w:r>
    </w:p>
    <w:p>
      <w:pPr>
        <w:pStyle w:val="Normal"/>
        <w:jc w:val="both"/>
        <w:rPr>
          <w:sz w:val="23"/>
        </w:rPr>
      </w:pPr>
      <w:r>
        <w:rPr>
          <w:sz w:val="23"/>
        </w:rPr>
        <w:t>EnergyGateway.com, LLC</w:t>
        <w:tab/>
        <w:tab/>
        <w:tab/>
        <w:tab/>
        <w:t>Enron North America Corp.</w:t>
      </w:r>
    </w:p>
    <w:p>
      <w:pPr>
        <w:pStyle w:val="Normal"/>
        <w:jc w:val="both"/>
        <w:rPr>
          <w:sz w:val="23"/>
        </w:rPr>
      </w:pPr>
      <w:r>
        <w:rPr>
          <w:sz w:val="23"/>
        </w:rPr>
        <w:t>6343 Presidential Gateway, Suite 140</w:t>
        <w:tab/>
        <w:tab/>
        <w:tab/>
        <w:t>P.O. Box 4428</w:t>
      </w:r>
    </w:p>
    <w:p>
      <w:pPr>
        <w:pStyle w:val="Normal"/>
        <w:jc w:val="both"/>
        <w:rPr>
          <w:sz w:val="23"/>
        </w:rPr>
      </w:pPr>
      <w:r>
        <w:rPr>
          <w:sz w:val="23"/>
        </w:rPr>
        <w:t>Columbus, OH 43231</w:t>
        <w:tab/>
        <w:tab/>
        <w:tab/>
        <w:tab/>
        <w:tab/>
        <w:t>Houston, Texas  77210-4428</w:t>
      </w:r>
    </w:p>
    <w:p>
      <w:pPr>
        <w:pStyle w:val="Normal"/>
        <w:jc w:val="both"/>
        <w:rPr>
          <w:sz w:val="23"/>
        </w:rPr>
      </w:pPr>
      <w:r>
        <w:rPr>
          <w:sz w:val="23"/>
        </w:rPr>
        <w:t>Attn. Accounting Department</w:t>
        <w:tab/>
        <w:tab/>
        <w:tab/>
        <w:tab/>
        <w:t>Attn: Financial Settlements Dept.</w:t>
      </w:r>
    </w:p>
    <w:p>
      <w:pPr>
        <w:pStyle w:val="Heading8"/>
        <w:spacing w:lineRule="auto" w:line="240"/>
        <w:ind w:hanging="0" w:start="0"/>
        <w:rPr>
          <w:sz w:val="23"/>
        </w:rPr>
      </w:pPr>
      <w:r>
        <w:rPr>
          <w:sz w:val="23"/>
        </w:rPr>
        <w:t>Telephone: (614) 899-2900</w:t>
        <w:tab/>
        <w:tab/>
        <w:tab/>
        <w:tab/>
        <w:t>Telephone: (713) 853-3300</w:t>
      </w:r>
    </w:p>
    <w:p>
      <w:pPr>
        <w:pStyle w:val="Normal"/>
        <w:jc w:val="both"/>
        <w:rPr>
          <w:sz w:val="23"/>
        </w:rPr>
      </w:pPr>
      <w:r>
        <w:rPr>
          <w:sz w:val="23"/>
        </w:rPr>
        <w:t>Facsimile:  (614) 899-2922</w:t>
        <w:tab/>
        <w:tab/>
        <w:tab/>
        <w:tab/>
        <w:t>Facsimile (713) 646-4819</w:t>
      </w:r>
    </w:p>
    <w:p>
      <w:pPr>
        <w:pStyle w:val="Normal"/>
        <w:jc w:val="both"/>
        <w:rPr>
          <w:b/>
          <w:sz w:val="23"/>
        </w:rPr>
      </w:pPr>
      <w:r>
        <w:rPr>
          <w:b/>
          <w:sz w:val="23"/>
        </w:rPr>
      </w:r>
    </w:p>
    <w:p>
      <w:pPr>
        <w:pStyle w:val="Normal"/>
        <w:rPr/>
      </w:pPr>
      <w:r>
        <w:rPr>
          <w:b/>
          <w:sz w:val="23"/>
        </w:rPr>
        <w:t xml:space="preserve">PROVIDER’S </w:t>
      </w:r>
      <w:r>
        <w:rPr>
          <w:b/>
          <w:sz w:val="23"/>
          <w:u w:val="single"/>
        </w:rPr>
        <w:t>PRIMARY</w:t>
      </w:r>
      <w:r>
        <w:rPr>
          <w:b/>
          <w:sz w:val="23"/>
        </w:rPr>
        <w:t xml:space="preserve"> AND </w:t>
      </w:r>
      <w:r>
        <w:rPr>
          <w:b/>
          <w:sz w:val="23"/>
          <w:u w:val="single"/>
        </w:rPr>
        <w:t>SECONDARY</w:t>
      </w:r>
      <w:r>
        <w:rPr>
          <w:b/>
          <w:sz w:val="23"/>
        </w:rPr>
        <w:t xml:space="preserve"> CONTACTS:</w:t>
      </w:r>
    </w:p>
    <w:p>
      <w:pPr>
        <w:pStyle w:val="Normal"/>
        <w:rPr>
          <w:b/>
          <w:sz w:val="23"/>
        </w:rPr>
      </w:pPr>
      <w:r>
        <w:rPr>
          <w:b/>
          <w:sz w:val="23"/>
        </w:rPr>
      </w:r>
    </w:p>
    <w:p>
      <w:pPr>
        <w:pStyle w:val="Normal"/>
        <w:tabs>
          <w:tab w:val="clear" w:pos="720"/>
          <w:tab w:val="left" w:pos="4680" w:leader="none"/>
        </w:tabs>
        <w:rPr>
          <w:sz w:val="23"/>
        </w:rPr>
      </w:pPr>
      <w:r>
        <w:rPr>
          <w:sz w:val="23"/>
        </w:rPr>
        <w:t>Primary Name: Sheri Thomas</w:t>
        <w:tab/>
        <w:t xml:space="preserve"> Email: sheri.thomas@enron.com</w:t>
      </w:r>
    </w:p>
    <w:p>
      <w:pPr>
        <w:pStyle w:val="Normal"/>
        <w:rPr>
          <w:sz w:val="23"/>
        </w:rPr>
      </w:pPr>
      <w:r>
        <w:rPr>
          <w:sz w:val="23"/>
        </w:rPr>
      </w:r>
    </w:p>
    <w:p>
      <w:pPr>
        <w:pStyle w:val="Footer"/>
        <w:tabs>
          <w:tab w:val="clear" w:pos="9360"/>
          <w:tab w:val="left" w:pos="4680" w:leader="none"/>
        </w:tabs>
        <w:rPr>
          <w:sz w:val="23"/>
        </w:rPr>
      </w:pPr>
      <w:r>
        <w:rPr>
          <w:sz w:val="23"/>
        </w:rPr>
        <w:t>Secondary Name: Stephanie Sever</w:t>
        <w:tab/>
        <w:t xml:space="preserve"> Email: stephanie.sever@enron.com</w:t>
      </w:r>
    </w:p>
    <w:p>
      <w:pPr>
        <w:pStyle w:val="Normal"/>
        <w:jc w:val="both"/>
        <w:rPr>
          <w:b/>
          <w:sz w:val="23"/>
        </w:rPr>
      </w:pPr>
      <w:r>
        <w:rPr>
          <w:b/>
          <w:sz w:val="23"/>
        </w:rPr>
      </w:r>
      <w:r>
        <w:br w:type="page"/>
      </w:r>
    </w:p>
    <w:p>
      <w:pPr>
        <w:pStyle w:val="Normal"/>
        <w:rPr>
          <w:b/>
          <w:sz w:val="23"/>
        </w:rPr>
      </w:pPr>
      <w:r>
        <w:rPr>
          <w:b/>
          <w:sz w:val="23"/>
        </w:rPr>
      </w:r>
    </w:p>
    <w:p>
      <w:pPr>
        <w:pStyle w:val="Normal"/>
        <w:rPr>
          <w:sz w:val="23"/>
        </w:rPr>
      </w:pPr>
      <w:r>
        <w:rPr>
          <w:sz w:val="23"/>
        </w:rPr>
        <w:t xml:space="preserve">Company:  </w:t>
      </w:r>
      <w:r>
        <w:rPr>
          <w:b/>
        </w:rPr>
        <w:t>EnergyGateway.com, LLC</w:t>
      </w:r>
      <w:r>
        <w:rPr>
          <w:sz w:val="23"/>
        </w:rPr>
        <w:t xml:space="preserve"> </w:t>
        <w:tab/>
        <w:tab/>
        <w:t xml:space="preserve">Provider: </w:t>
      </w:r>
      <w:r>
        <w:rPr>
          <w:b/>
          <w:bCs/>
        </w:rPr>
        <w:t>Enron North America Corp.</w:t>
      </w:r>
    </w:p>
    <w:p>
      <w:pPr>
        <w:pStyle w:val="Normal"/>
        <w:rPr>
          <w:sz w:val="23"/>
        </w:rPr>
      </w:pPr>
      <w:r>
        <w:rPr>
          <w:sz w:val="23"/>
        </w:rPr>
      </w:r>
    </w:p>
    <w:p>
      <w:pPr>
        <w:pStyle w:val="Normal"/>
        <w:rPr>
          <w:sz w:val="23"/>
        </w:rPr>
      </w:pPr>
      <w:r>
        <w:rPr>
          <w:sz w:val="23"/>
        </w:rPr>
        <w:t>Signature: ______________________________</w:t>
        <w:tab/>
        <w:t>Signature: ___________________________</w:t>
      </w:r>
    </w:p>
    <w:p>
      <w:pPr>
        <w:pStyle w:val="Normal"/>
        <w:rPr>
          <w:sz w:val="23"/>
        </w:rPr>
      </w:pPr>
      <w:r>
        <w:rPr>
          <w:sz w:val="23"/>
        </w:rPr>
      </w:r>
    </w:p>
    <w:p>
      <w:pPr>
        <w:pStyle w:val="Normal"/>
        <w:rPr>
          <w:sz w:val="23"/>
        </w:rPr>
      </w:pPr>
      <w:r>
        <w:rPr>
          <w:sz w:val="23"/>
        </w:rPr>
        <w:t>Name:       ______________________________</w:t>
        <w:tab/>
        <w:t>Name:       ___________________________</w:t>
      </w:r>
    </w:p>
    <w:p>
      <w:pPr>
        <w:pStyle w:val="Normal"/>
        <w:rPr>
          <w:sz w:val="23"/>
        </w:rPr>
      </w:pPr>
      <w:r>
        <w:rPr>
          <w:sz w:val="23"/>
        </w:rPr>
      </w:r>
    </w:p>
    <w:p>
      <w:pPr>
        <w:pStyle w:val="Normal"/>
        <w:rPr>
          <w:sz w:val="23"/>
        </w:rPr>
      </w:pPr>
      <w:r>
        <w:rPr>
          <w:sz w:val="23"/>
        </w:rPr>
        <w:t>Title:         ______________________________</w:t>
        <w:tab/>
        <w:t>Title:         ___________________________</w:t>
      </w:r>
    </w:p>
    <w:p>
      <w:pPr>
        <w:pStyle w:val="Normal"/>
        <w:rPr>
          <w:sz w:val="23"/>
        </w:rPr>
      </w:pPr>
      <w:r>
        <w:rPr>
          <w:sz w:val="23"/>
        </w:rPr>
      </w:r>
    </w:p>
    <w:p>
      <w:pPr>
        <w:pStyle w:val="Heading4"/>
        <w:ind w:hanging="0" w:start="0"/>
        <w:rPr>
          <w:i w:val="false"/>
          <w:i w:val="false"/>
          <w:sz w:val="23"/>
        </w:rPr>
      </w:pPr>
      <w:r>
        <w:rPr>
          <w:i w:val="false"/>
          <w:sz w:val="23"/>
        </w:rPr>
        <w:t>Date:         ______________________________</w:t>
        <w:tab/>
        <w:t>Date:         ___________________________</w:t>
      </w:r>
    </w:p>
    <w:p>
      <w:pPr>
        <w:pStyle w:val="Footer"/>
        <w:tabs>
          <w:tab w:val="clear" w:pos="4680"/>
          <w:tab w:val="clear" w:pos="9360"/>
        </w:tabs>
        <w:rPr>
          <w:sz w:val="23"/>
        </w:rPr>
      </w:pPr>
      <w:r>
        <w:rPr>
          <w:sz w:val="23"/>
        </w:rPr>
        <w:t>Email:</w:t>
        <w:tab/>
        <w:t xml:space="preserve">     ______________________________</w:t>
        <w:tab/>
        <w:t>Email:</w:t>
        <w:tab/>
        <w:t xml:space="preserve">     ___________________________</w:t>
      </w:r>
    </w:p>
    <w:p>
      <w:pPr>
        <w:pStyle w:val="Footer"/>
        <w:tabs>
          <w:tab w:val="clear" w:pos="4680"/>
          <w:tab w:val="clear" w:pos="9360"/>
        </w:tabs>
        <w:rPr>
          <w:sz w:val="23"/>
        </w:rPr>
      </w:pPr>
      <w:r>
        <w:rPr>
          <w:sz w:val="23"/>
        </w:rPr>
      </w:r>
    </w:p>
    <w:p>
      <w:pPr>
        <w:pStyle w:val="Normal"/>
        <w:rPr>
          <w:sz w:val="23"/>
        </w:rPr>
      </w:pPr>
      <w:r>
        <w:rPr>
          <w:sz w:val="23"/>
        </w:rPr>
      </w:r>
    </w:p>
    <w:p>
      <w:pPr>
        <w:pStyle w:val="Normal"/>
        <w:ind w:firstLine="720" w:start="3600" w:end="0"/>
        <w:rPr>
          <w:sz w:val="23"/>
        </w:rPr>
      </w:pPr>
      <w:r>
        <w:rPr>
          <w:sz w:val="23"/>
        </w:rPr>
        <w:tab/>
        <w:t>Signature: ___________________________</w:t>
      </w:r>
    </w:p>
    <w:p>
      <w:pPr>
        <w:pStyle w:val="Normal"/>
        <w:rPr>
          <w:sz w:val="23"/>
        </w:rPr>
      </w:pPr>
      <w:r>
        <w:rPr>
          <w:sz w:val="23"/>
        </w:rPr>
      </w:r>
    </w:p>
    <w:p>
      <w:pPr>
        <w:pStyle w:val="Normal"/>
        <w:ind w:firstLine="720" w:start="3600" w:end="0"/>
        <w:rPr>
          <w:sz w:val="23"/>
        </w:rPr>
      </w:pPr>
      <w:r>
        <w:rPr>
          <w:sz w:val="23"/>
        </w:rPr>
        <w:tab/>
        <w:t>Name:       ___________________________</w:t>
      </w:r>
    </w:p>
    <w:p>
      <w:pPr>
        <w:pStyle w:val="Normal"/>
        <w:rPr>
          <w:sz w:val="23"/>
        </w:rPr>
      </w:pPr>
      <w:r>
        <w:rPr>
          <w:sz w:val="23"/>
        </w:rPr>
      </w:r>
    </w:p>
    <w:p>
      <w:pPr>
        <w:pStyle w:val="Normal"/>
        <w:ind w:firstLine="720" w:start="3600" w:end="0"/>
        <w:rPr>
          <w:sz w:val="23"/>
        </w:rPr>
      </w:pPr>
      <w:r>
        <w:rPr>
          <w:sz w:val="23"/>
        </w:rPr>
        <w:tab/>
        <w:t>Title:         ___________________________</w:t>
      </w:r>
    </w:p>
    <w:p>
      <w:pPr>
        <w:pStyle w:val="Normal"/>
        <w:rPr>
          <w:sz w:val="23"/>
        </w:rPr>
      </w:pPr>
      <w:r>
        <w:rPr>
          <w:sz w:val="23"/>
        </w:rPr>
      </w:r>
    </w:p>
    <w:p>
      <w:pPr>
        <w:pStyle w:val="Heading4"/>
        <w:ind w:firstLine="720" w:start="3600" w:end="0"/>
        <w:rPr>
          <w:i w:val="false"/>
          <w:i w:val="false"/>
          <w:sz w:val="23"/>
        </w:rPr>
      </w:pPr>
      <w:r>
        <w:rPr>
          <w:i w:val="false"/>
          <w:sz w:val="23"/>
        </w:rPr>
        <w:tab/>
        <w:t>Date:         ___________________________</w:t>
      </w:r>
    </w:p>
    <w:p>
      <w:pPr>
        <w:pStyle w:val="Footer"/>
        <w:tabs>
          <w:tab w:val="clear" w:pos="4680"/>
          <w:tab w:val="clear" w:pos="9360"/>
        </w:tabs>
        <w:ind w:firstLine="720" w:start="3600" w:end="0"/>
        <w:rPr>
          <w:sz w:val="23"/>
        </w:rPr>
      </w:pPr>
      <w:r>
        <w:rPr>
          <w:sz w:val="23"/>
        </w:rPr>
        <w:tab/>
        <w:t>Email:</w:t>
        <w:tab/>
        <w:t xml:space="preserve">     ___________________________</w:t>
      </w:r>
    </w:p>
    <w:p>
      <w:pPr>
        <w:pStyle w:val="Footer"/>
        <w:tabs>
          <w:tab w:val="clear" w:pos="4680"/>
          <w:tab w:val="clear" w:pos="9360"/>
        </w:tabs>
        <w:rPr>
          <w:sz w:val="23"/>
        </w:rPr>
      </w:pPr>
      <w:r>
        <w:rPr>
          <w:sz w:val="23"/>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Monotype Sorts">
    <w:altName w:val="ZapfDingba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sz w:val="20"/>
      </w:rPr>
    </w:pPr>
    <w:r>
      <w:rPr>
        <w:sz w:val="20"/>
      </w:rPr>
      <w:t>EnergyGateway.com, LLC, 6343 Presidential Gateway · Suite 140 · Columbus, OH 43231 (614) 899·2900</w:t>
    </w:r>
  </w:p>
  <w:p>
    <w:pPr>
      <w:pStyle w:val="Footer"/>
      <w:rPr>
        <w:sz w:val="20"/>
      </w:rPr>
    </w:pPr>
    <w:r>
      <w:rPr>
        <w:sz w:val="20"/>
      </w:rPr>
      <w:t>1.22-050900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EnergyGateway.com, LLC, 6343 Presidential Gateway · Suite 140 · Columbus, OH 43231 (614) 899·2900</w:t>
    </w:r>
  </w:p>
  <w:p>
    <w:pPr>
      <w:pStyle w:val="Footer"/>
      <w:rPr>
        <w:sz w:val="20"/>
      </w:rPr>
    </w:pPr>
    <w:r>
      <w:rPr>
        <w:sz w:val="20"/>
      </w:rPr>
      <w:t>1.22-050900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ind w:hanging="0" w:start="0"/>
      <w:jc w:val="center"/>
      <w:rPr>
        <w:i w:val="false"/>
        <w:i w:val="false"/>
        <w:sz w:val="32"/>
      </w:rPr>
    </w:pPr>
    <w:r>
      <w:rPr/>
      <w:drawing>
        <wp:inline distT="0" distB="0" distL="0" distR="0">
          <wp:extent cx="3817620" cy="565785"/>
          <wp:effectExtent l="0" t="0" r="0" b="0"/>
          <wp:docPr id="1" name="EnergyGatewa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yGateway" descr="" title=""/>
                  <pic:cNvPicPr>
                    <a:picLocks noChangeAspect="1" noChangeArrowheads="1"/>
                  </pic:cNvPicPr>
                </pic:nvPicPr>
                <pic:blipFill>
                  <a:blip r:embed="rId1"/>
                  <a:srcRect l="-5" t="-35" r="-5" b="-35"/>
                  <a:stretch>
                    <a:fillRect/>
                  </a:stretch>
                </pic:blipFill>
                <pic:spPr bwMode="auto">
                  <a:xfrm>
                    <a:off x="0" y="0"/>
                    <a:ext cx="3817620" cy="565785"/>
                  </a:xfrm>
                  <a:prstGeom prst="rect">
                    <a:avLst/>
                  </a:prstGeom>
                  <a:noFill/>
                </pic:spPr>
              </pic:pic>
            </a:graphicData>
          </a:graphic>
        </wp:inline>
      </w:drawing>
    </w:r>
  </w:p>
  <w:p>
    <w:pPr>
      <w:pStyle w:val="Heading2"/>
      <w:ind w:hanging="0" w:start="0"/>
      <w:jc w:val="center"/>
      <w:rPr>
        <w:i w:val="false"/>
        <w:i w:val="false"/>
        <w:sz w:val="32"/>
      </w:rPr>
    </w:pPr>
    <w:r>
      <w:rPr>
        <w:i w:val="false"/>
        <w:sz w:val="32"/>
      </w:rPr>
      <w:t>NATURAL GAS MARKETPLACE</w:t>
    </w:r>
  </w:p>
  <w:p>
    <w:pPr>
      <w:pStyle w:val="Heading2"/>
      <w:spacing w:before="0" w:after="240"/>
      <w:ind w:hanging="0" w:start="0"/>
      <w:jc w:val="center"/>
      <w:rPr>
        <w:i w:val="false"/>
        <w:i w:val="false"/>
        <w:sz w:val="32"/>
      </w:rPr>
    </w:pPr>
    <w:r>
      <w:rPr>
        <w:i w:val="false"/>
        <w:sz w:val="32"/>
      </w:rPr>
      <w:t>Provider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bullet"/>
      <w:lvlText w:val=""/>
      <w:lvlJc w:val="start"/>
      <w:pPr>
        <w:tabs>
          <w:tab w:val="num" w:pos="360"/>
        </w:tabs>
        <w:ind w:start="360" w:hanging="360"/>
      </w:pPr>
      <w:rPr>
        <w:rFonts w:ascii="Symbol" w:hAnsi="Symbol" w:cs="Symbol" w:hint="default"/>
        <w:sz w:val="36"/>
        <w:u w:val="single"/>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Normal"/>
    <w:qFormat/>
    <w:pPr>
      <w:keepNext w:val="true"/>
      <w:numPr>
        <w:ilvl w:val="1"/>
        <w:numId w:val="1"/>
      </w:numPr>
      <w:spacing w:before="0" w:after="240"/>
      <w:outlineLvl w:val="1"/>
    </w:pPr>
    <w:rPr>
      <w:b/>
      <w:i/>
    </w:rPr>
  </w:style>
  <w:style w:type="paragraph" w:styleId="Heading3">
    <w:name w:val="heading 3"/>
    <w:basedOn w:val="Normal"/>
    <w:next w:val="BodyText"/>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outlineLvl w:val="3"/>
    </w:pPr>
    <w:rPr>
      <w:i/>
    </w:rPr>
  </w:style>
  <w:style w:type="paragraph" w:styleId="Heading5">
    <w:name w:val="heading 5"/>
    <w:basedOn w:val="Normal"/>
    <w:next w:val="Normal"/>
    <w:qFormat/>
    <w:pPr>
      <w:keepNext w:val="true"/>
      <w:numPr>
        <w:ilvl w:val="4"/>
        <w:numId w:val="1"/>
      </w:numPr>
      <w:outlineLvl w:val="4"/>
    </w:pPr>
    <w:rPr>
      <w:b/>
      <w:u w:val="single"/>
    </w:rPr>
  </w:style>
  <w:style w:type="paragraph" w:styleId="Heading6">
    <w:name w:val="heading 6"/>
    <w:basedOn w:val="Normal"/>
    <w:next w:val="Normal"/>
    <w:qFormat/>
    <w:pPr>
      <w:keepNext w:val="true"/>
      <w:numPr>
        <w:ilvl w:val="5"/>
        <w:numId w:val="1"/>
      </w:numPr>
      <w:outlineLvl w:val="5"/>
    </w:pPr>
    <w:rPr>
      <w:b/>
      <w:color w:val="0000FF"/>
    </w:rPr>
  </w:style>
  <w:style w:type="paragraph" w:styleId="Heading8">
    <w:name w:val="heading 8"/>
    <w:basedOn w:val="Normal"/>
    <w:next w:val="Normal"/>
    <w:qFormat/>
    <w:pPr>
      <w:keepNext w:val="true"/>
      <w:numPr>
        <w:ilvl w:val="7"/>
        <w:numId w:val="1"/>
      </w:numPr>
      <w:spacing w:lineRule="auto" w:line="360"/>
      <w:jc w:val="both"/>
      <w:outlineLvl w:val="7"/>
    </w:pPr>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b/>
      <w:sz w:val="36"/>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vsLastFooter">
    <w:name w:val="vsLastFooter"/>
    <w:qFormat/>
    <w:pPr>
      <w:widowControl/>
      <w:bidi w:val="0"/>
      <w:spacing w:before="0" w:after="360"/>
    </w:pPr>
    <w:rPr>
      <w:rFonts w:ascii="Arial" w:hAnsi="Arial" w:eastAsia="Times New Roman" w:cs="Arial"/>
      <w:vanish/>
      <w:color w:val="FF0000"/>
      <w:sz w:val="14"/>
      <w:szCs w:val="20"/>
      <w:lang w:val="en-US" w:eastAsia="en-CA" w:bidi="ar-SA"/>
    </w:rPr>
  </w:style>
  <w:style w:type="paragraph" w:styleId="BodyTextIndent">
    <w:name w:val="Body Text Indent"/>
    <w:basedOn w:val="Normal"/>
    <w:pPr>
      <w:widowControl w:val="false"/>
      <w:spacing w:lineRule="auto" w:line="360"/>
      <w:ind w:firstLine="720" w:start="0" w:end="0"/>
      <w:jc w:val="both"/>
    </w:pPr>
    <w:rPr>
      <w:rFonts w:ascii="CG Times;Times New Roman" w:hAnsi="CG Times;Times New Roman" w:cs="CG Times;Times New Roman"/>
    </w:rPr>
  </w:style>
  <w:style w:type="paragraph" w:styleId="BodyText2">
    <w:name w:val="Body Text 2"/>
    <w:basedOn w:val="Normal"/>
    <w:qFormat/>
    <w:pPr/>
    <w:rPr>
      <w:b/>
      <w:i/>
      <w:u w:val="single"/>
    </w:rPr>
  </w:style>
  <w:style w:type="paragraph" w:styleId="BodyText3">
    <w:name w:val="Body Text 3"/>
    <w:basedOn w:val="Normal"/>
    <w:qFormat/>
    <w:pPr>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jergens@energygateway.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2000-11-07T17:48:00Z</dcterms:created>
  <dc:creator>Beth C. Pinney</dc:creator>
  <dc:description/>
  <cp:keywords>Version 1.00</cp:keywords>
  <dc:language>en-CA</dc:language>
  <cp:lastModifiedBy>tjones</cp:lastModifiedBy>
  <cp:lastPrinted>2000-05-12T13:42:00Z</cp:lastPrinted>
  <dcterms:modified xsi:type="dcterms:W3CDTF">2000-11-30T13:14:00Z</dcterms:modified>
  <cp:revision>8</cp:revision>
  <dc:subject/>
  <dc:title>Standard Normal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umber">
    <vt:lpwstr>8550131</vt:lpwstr>
  </property>
</Properties>
</file>