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Notes for Ken Lay Meeting with Dick Cheney</w:t>
      </w:r>
    </w:p>
    <w:p>
      <w:pPr>
        <w:pStyle w:val="Heading"/>
        <w:rPr/>
      </w:pPr>
      <w:r>
        <w:rPr/>
      </w:r>
    </w:p>
    <w:p>
      <w:pPr>
        <w:pStyle w:val="Heading"/>
        <w:rPr/>
      </w:pPr>
      <w:r>
        <w:rPr/>
        <w:t>Linking Markets and Technology with</w:t>
      </w:r>
    </w:p>
    <w:p>
      <w:pPr>
        <w:pStyle w:val="Heading"/>
        <w:rPr/>
      </w:pPr>
      <w:r>
        <w:rPr/>
        <w:t>Energy and the Environment</w:t>
      </w:r>
    </w:p>
    <w:p>
      <w:pPr>
        <w:pStyle w:val="Normal"/>
        <w:spacing w:lineRule="auto" w:line="240"/>
        <w:jc w:val="center"/>
        <w:rPr/>
      </w:pPr>
      <w:r>
        <w:rPr/>
      </w:r>
    </w:p>
    <w:p>
      <w:pPr>
        <w:pStyle w:val="EEAHead1"/>
        <w:tabs>
          <w:tab w:val="clear" w:pos="720"/>
        </w:tabs>
        <w:spacing w:lineRule="auto" w:line="240" w:before="0" w:after="0"/>
        <w:rPr>
          <w:caps w:val="false"/>
          <w:smallCaps w:val="false"/>
        </w:rPr>
      </w:pPr>
      <w:r>
        <w:rPr>
          <w:caps w:val="false"/>
          <w:smallCaps w:val="false"/>
        </w:rPr>
        <w:t>Markets</w:t>
      </w:r>
    </w:p>
    <w:p>
      <w:pPr>
        <w:pStyle w:val="Bullet1"/>
        <w:numPr>
          <w:ilvl w:val="0"/>
          <w:numId w:val="1"/>
        </w:numPr>
        <w:spacing w:lineRule="auto" w:line="240"/>
        <w:rPr/>
      </w:pPr>
      <w:r>
        <w:rPr/>
        <w:t>Competitive, restructured markets are still the best way to provide secure, affordable energy.</w:t>
      </w:r>
    </w:p>
    <w:p>
      <w:pPr>
        <w:pStyle w:val="Bullet1"/>
        <w:numPr>
          <w:ilvl w:val="0"/>
          <w:numId w:val="1"/>
        </w:numPr>
        <w:spacing w:lineRule="auto" w:line="240"/>
        <w:rPr/>
      </w:pPr>
      <w:r>
        <w:rPr/>
        <w:t>Supply problems such as the current situation in the Western U.S. result primarily from limitations on full market operation or artificial constraints on energy supply and infrastructure development (i.e., government/regulatory constraints).</w:t>
      </w:r>
    </w:p>
    <w:p>
      <w:pPr>
        <w:pStyle w:val="Bullet2"/>
        <w:numPr>
          <w:ilvl w:val="0"/>
          <w:numId w:val="2"/>
        </w:numPr>
        <w:spacing w:lineRule="auto" w:line="240"/>
        <w:rPr/>
      </w:pPr>
      <w:r>
        <w:rPr/>
        <w:t>The value of competitive markets is clear in the deregulated natural gas industry.  Higher demand/prices have resulted in an increase in total (oil and gas) U.S. drilling rigs from 775 to 1,120 (40%) from January 2000 to January 2001.  Despite the long lag time required to increase gas production, estimated gas production is up by 1 Bcfd from 4</w:t>
      </w:r>
      <w:r>
        <w:rPr>
          <w:vertAlign w:val="superscript"/>
        </w:rPr>
        <w:t>th</w:t>
      </w:r>
      <w:r>
        <w:rPr/>
        <w:t xml:space="preserve"> quarter 1999 to 4</w:t>
      </w:r>
      <w:r>
        <w:rPr>
          <w:vertAlign w:val="superscript"/>
        </w:rPr>
        <w:t>th</w:t>
      </w:r>
      <w:r>
        <w:rPr/>
        <w:t xml:space="preserve"> quarter 2000.</w:t>
      </w:r>
    </w:p>
    <w:p>
      <w:pPr>
        <w:pStyle w:val="EEAHead1"/>
        <w:tabs>
          <w:tab w:val="clear" w:pos="720"/>
        </w:tabs>
        <w:spacing w:before="0" w:after="0"/>
        <w:rPr>
          <w:caps w:val="false"/>
          <w:smallCaps w:val="false"/>
        </w:rPr>
      </w:pPr>
      <w:r>
        <w:rPr>
          <w:caps w:val="false"/>
          <w:smallCaps w:val="false"/>
        </w:rPr>
      </w:r>
    </w:p>
    <w:p>
      <w:pPr>
        <w:pStyle w:val="EEAHead1"/>
        <w:tabs>
          <w:tab w:val="clear" w:pos="720"/>
        </w:tabs>
        <w:spacing w:before="0" w:after="0"/>
        <w:rPr>
          <w:caps w:val="false"/>
          <w:smallCaps w:val="false"/>
        </w:rPr>
      </w:pPr>
      <w:r>
        <w:rPr>
          <w:caps w:val="false"/>
          <w:smallCaps w:val="false"/>
        </w:rPr>
        <w:t>Energy Supply</w:t>
      </w:r>
    </w:p>
    <w:p>
      <w:pPr>
        <w:pStyle w:val="Bullet1"/>
        <w:numPr>
          <w:ilvl w:val="0"/>
          <w:numId w:val="1"/>
        </w:numPr>
        <w:spacing w:lineRule="auto" w:line="240"/>
        <w:rPr/>
      </w:pPr>
      <w:r>
        <w:rPr/>
        <w:t>The U.S. should pursue all available energy resources and develop a diverse energy portfolio.</w:t>
      </w:r>
    </w:p>
    <w:p>
      <w:pPr>
        <w:pStyle w:val="Bullet1"/>
        <w:numPr>
          <w:ilvl w:val="0"/>
          <w:numId w:val="1"/>
        </w:numPr>
        <w:spacing w:lineRule="auto" w:line="240"/>
        <w:rPr/>
      </w:pPr>
      <w:r>
        <w:rPr/>
        <w:t>The U.S. has abundant coal supplies.</w:t>
      </w:r>
    </w:p>
    <w:p>
      <w:pPr>
        <w:pStyle w:val="Bullet2"/>
        <w:numPr>
          <w:ilvl w:val="0"/>
          <w:numId w:val="2"/>
        </w:numPr>
        <w:spacing w:lineRule="auto" w:line="240"/>
        <w:rPr/>
      </w:pPr>
      <w:r>
        <w:rPr/>
        <w:t xml:space="preserve">Current natural gas prices are reviving interest in new coal generation but </w:t>
      </w:r>
      <w:r>
        <w:rPr>
          <w:b/>
          <w:bCs/>
        </w:rPr>
        <w:t>coal prices are up significantly</w:t>
      </w:r>
      <w:r>
        <w:rPr/>
        <w:t>.</w:t>
      </w:r>
    </w:p>
    <w:p>
      <w:pPr>
        <w:pStyle w:val="Bullet2"/>
        <w:numPr>
          <w:ilvl w:val="0"/>
          <w:numId w:val="2"/>
        </w:numPr>
        <w:spacing w:lineRule="auto" w:line="240"/>
        <w:rPr/>
      </w:pPr>
      <w:r>
        <w:rPr/>
        <w:t>Coal plants have a high hurdle to meet environmental requirements and gain public acceptance.</w:t>
      </w:r>
    </w:p>
    <w:p>
      <w:pPr>
        <w:pStyle w:val="Bullet2"/>
        <w:numPr>
          <w:ilvl w:val="0"/>
          <w:numId w:val="2"/>
        </w:numPr>
        <w:spacing w:lineRule="auto" w:line="240"/>
        <w:rPr/>
      </w:pPr>
      <w:r>
        <w:rPr/>
        <w:t>New coal technologies will help address these issues.</w:t>
      </w:r>
    </w:p>
    <w:p>
      <w:pPr>
        <w:pStyle w:val="Bullet1"/>
        <w:numPr>
          <w:ilvl w:val="0"/>
          <w:numId w:val="1"/>
        </w:numPr>
        <w:spacing w:lineRule="auto" w:line="240"/>
        <w:rPr>
          <w:b/>
          <w:bCs/>
        </w:rPr>
      </w:pPr>
      <w:r>
        <w:rPr>
          <w:b/>
          <w:bCs/>
        </w:rPr>
        <w:t>For the near future, gas will continue to be most important source of new electric generation:</w:t>
      </w:r>
    </w:p>
    <w:p>
      <w:pPr>
        <w:pStyle w:val="Bullet2"/>
        <w:numPr>
          <w:ilvl w:val="0"/>
          <w:numId w:val="2"/>
        </w:numPr>
        <w:spacing w:lineRule="auto" w:line="240"/>
        <w:rPr/>
      </w:pPr>
      <w:r>
        <w:rPr/>
        <w:t>Lowest capital cost.</w:t>
      </w:r>
    </w:p>
    <w:p>
      <w:pPr>
        <w:pStyle w:val="Bullet2"/>
        <w:numPr>
          <w:ilvl w:val="0"/>
          <w:numId w:val="2"/>
        </w:numPr>
        <w:spacing w:lineRule="auto" w:line="240"/>
        <w:rPr/>
      </w:pPr>
      <w:r>
        <w:rPr/>
        <w:t>Quickest to construct and start up.</w:t>
      </w:r>
    </w:p>
    <w:p>
      <w:pPr>
        <w:pStyle w:val="Bullet2"/>
        <w:numPr>
          <w:ilvl w:val="0"/>
          <w:numId w:val="2"/>
        </w:numPr>
        <w:spacing w:lineRule="auto" w:line="240"/>
        <w:rPr/>
      </w:pPr>
      <w:r>
        <w:rPr/>
        <w:t>Lowest emissions, greatest acceptance by the public.</w:t>
      </w:r>
    </w:p>
    <w:p>
      <w:pPr>
        <w:pStyle w:val="Bullet2"/>
        <w:numPr>
          <w:ilvl w:val="0"/>
          <w:numId w:val="2"/>
        </w:numPr>
        <w:spacing w:lineRule="auto" w:line="240"/>
        <w:rPr/>
      </w:pPr>
      <w:r>
        <w:rPr/>
        <w:t>Highest efficiency.</w:t>
      </w:r>
    </w:p>
    <w:p>
      <w:pPr>
        <w:pStyle w:val="Bullet1"/>
        <w:numPr>
          <w:ilvl w:val="0"/>
          <w:numId w:val="1"/>
        </w:numPr>
        <w:spacing w:lineRule="auto" w:line="240"/>
        <w:rPr/>
      </w:pPr>
      <w:r>
        <w:rPr/>
        <w:t>We need to ensure that gas supply and infrastructure keeps pace with growing demand for gas for power generation, industrial and residential/commercial use.</w:t>
      </w:r>
    </w:p>
    <w:p>
      <w:pPr>
        <w:pStyle w:val="Bullet1"/>
        <w:numPr>
          <w:ilvl w:val="0"/>
          <w:numId w:val="1"/>
        </w:numPr>
        <w:spacing w:lineRule="auto" w:line="240"/>
        <w:rPr/>
      </w:pPr>
      <w:r>
        <w:rPr/>
        <w:t>Recent report to the Secretary of Energy by the National Petroleum Council highlights the need to focus on access to sources of natural gas, development of gas delivery infrastructure and appropriate lead times for both.</w:t>
      </w:r>
    </w:p>
    <w:p>
      <w:pPr>
        <w:pStyle w:val="Bullet2"/>
        <w:numPr>
          <w:ilvl w:val="0"/>
          <w:numId w:val="2"/>
        </w:numPr>
        <w:spacing w:lineRule="auto" w:line="240"/>
        <w:rPr/>
      </w:pPr>
      <w:r>
        <w:rPr/>
        <w:t>North American gas supply is adequate for currently foreseen demand.  However, resource development and delivery infrastructure need to keep pace with the demand.</w:t>
      </w:r>
    </w:p>
    <w:p>
      <w:pPr>
        <w:pStyle w:val="Bullet2"/>
        <w:numPr>
          <w:ilvl w:val="0"/>
          <w:numId w:val="2"/>
        </w:numPr>
        <w:spacing w:lineRule="auto" w:line="240"/>
        <w:rPr/>
      </w:pPr>
      <w:r>
        <w:rPr/>
        <w:t>LNG is a viable option for gas supply and needs to be pursued.  LNG technology has blossomed in other parts of the world since its last development in the U.S.  It should be part of a diversified energy supply portfolio.</w:t>
      </w:r>
    </w:p>
    <w:p>
      <w:pPr>
        <w:pStyle w:val="Bullet2"/>
        <w:numPr>
          <w:ilvl w:val="0"/>
          <w:numId w:val="2"/>
        </w:numPr>
        <w:spacing w:lineRule="auto" w:line="240"/>
        <w:rPr/>
      </w:pPr>
      <w:r>
        <w:rPr>
          <w:u w:val="single"/>
        </w:rPr>
        <w:t>Example issue</w:t>
      </w:r>
      <w:r>
        <w:rPr/>
        <w:t xml:space="preserve">:  Current high electricity prices in California are in large part related to high cost of natural gas.  Gas prices in California are higher than in other states due to constraints on the gas delivery system </w:t>
      </w:r>
      <w:r>
        <w:rPr>
          <w:i/>
        </w:rPr>
        <w:t xml:space="preserve">inside the state.  </w:t>
      </w:r>
      <w:r>
        <w:rPr/>
        <w:t>Expanding gas delivery capacity in the state would reduce gas prices and help bring down electricity prices.</w:t>
      </w:r>
    </w:p>
    <w:p>
      <w:pPr>
        <w:pStyle w:val="Normal"/>
        <w:rPr/>
      </w:pPr>
      <w:r>
        <w:rPr/>
      </w:r>
    </w:p>
    <w:p>
      <w:pPr>
        <w:pStyle w:val="EEAHead1"/>
        <w:tabs>
          <w:tab w:val="clear" w:pos="720"/>
        </w:tabs>
        <w:spacing w:before="0" w:after="0"/>
        <w:rPr>
          <w:caps w:val="false"/>
          <w:smallCaps w:val="false"/>
        </w:rPr>
      </w:pPr>
      <w:r>
        <w:rPr>
          <w:caps w:val="false"/>
          <w:smallCaps w:val="false"/>
        </w:rPr>
        <w:t>Regulation</w:t>
      </w:r>
    </w:p>
    <w:p>
      <w:pPr>
        <w:pStyle w:val="Bullet1"/>
        <w:numPr>
          <w:ilvl w:val="0"/>
          <w:numId w:val="1"/>
        </w:numPr>
        <w:spacing w:lineRule="auto" w:line="240"/>
        <w:rPr/>
      </w:pPr>
      <w:r>
        <w:rPr/>
        <w:t>In the longer term, U.S. energy and environmental policy should present a level playing field with a simplified regulatory approach that allows the energy industry to develop a diverse portfolio of energy sources.  One example is “</w:t>
      </w:r>
      <w:r>
        <w:rPr>
          <w:b/>
          <w:bCs/>
        </w:rPr>
        <w:t>multipollutant” regulation for the power generation industry</w:t>
      </w:r>
      <w:r>
        <w:rPr/>
        <w:t>.  Such a program should:</w:t>
      </w:r>
    </w:p>
    <w:p>
      <w:pPr>
        <w:pStyle w:val="Bullet2"/>
        <w:numPr>
          <w:ilvl w:val="0"/>
          <w:numId w:val="2"/>
        </w:numPr>
        <w:spacing w:lineRule="auto" w:line="240"/>
        <w:rPr/>
      </w:pPr>
      <w:r>
        <w:rPr/>
        <w:t>Expedite new power development by simplifying permitting and regulation.</w:t>
      </w:r>
    </w:p>
    <w:p>
      <w:pPr>
        <w:pStyle w:val="Bullet2"/>
        <w:numPr>
          <w:ilvl w:val="0"/>
          <w:numId w:val="2"/>
        </w:numPr>
        <w:spacing w:lineRule="auto" w:line="240"/>
        <w:rPr/>
      </w:pPr>
      <w:r>
        <w:rPr/>
        <w:t>Keep the environment whole.</w:t>
      </w:r>
    </w:p>
    <w:p>
      <w:pPr>
        <w:pStyle w:val="Bullet2"/>
        <w:numPr>
          <w:ilvl w:val="0"/>
          <w:numId w:val="2"/>
        </w:numPr>
        <w:spacing w:lineRule="auto" w:line="240"/>
        <w:rPr/>
      </w:pPr>
      <w:r>
        <w:rPr/>
        <w:t>Treat all generators the same regardless of age, fuel, etc.</w:t>
      </w:r>
    </w:p>
    <w:p>
      <w:pPr>
        <w:pStyle w:val="Bullet2"/>
        <w:numPr>
          <w:ilvl w:val="0"/>
          <w:numId w:val="2"/>
        </w:numPr>
        <w:spacing w:lineRule="auto" w:line="240"/>
        <w:rPr/>
      </w:pPr>
      <w:r>
        <w:rPr/>
        <w:t>Promote new generating technology for all fuels.</w:t>
      </w:r>
    </w:p>
    <w:p>
      <w:pPr>
        <w:pStyle w:val="Bullet2"/>
        <w:numPr>
          <w:ilvl w:val="0"/>
          <w:numId w:val="2"/>
        </w:numPr>
        <w:spacing w:lineRule="auto" w:line="240"/>
        <w:rPr>
          <w:i/>
          <w:i/>
        </w:rPr>
      </w:pPr>
      <w:r>
        <w:rPr>
          <w:i/>
        </w:rPr>
        <w:t>Enron is participating in the development of such an approach that is currently being proposed, and has met with a number of White House, EPA, and DOE officials to present innovative ideas that the Administration could adopt.</w:t>
      </w:r>
    </w:p>
    <w:p>
      <w:pPr>
        <w:pStyle w:val="Bullet1"/>
        <w:numPr>
          <w:ilvl w:val="0"/>
          <w:numId w:val="1"/>
        </w:numPr>
        <w:spacing w:lineRule="auto" w:line="240" w:before="0" w:after="120"/>
        <w:rPr/>
      </w:pPr>
      <w:r>
        <w:rPr/>
        <w:t>One major concern is that restructured environmental regulations not be limited to supporting old plants at the expense of new plants (regardless of fuel).  New regulations need to provide flexibility for both and old plants while meeting environmental requirements.</w:t>
      </w:r>
    </w:p>
    <w:sectPr>
      <w:type w:val="nextPage"/>
      <w:pgSz w:w="12240" w:h="15840"/>
      <w:pgMar w:left="1440" w:right="1440" w:gutter="0" w:header="0" w:top="21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abstractNum>
  <w:abstractNum w:abstractNumId="2">
    <w:lvl w:ilvl="0">
      <w:numFmt w:val="bullet"/>
      <w:lvlText w:val="—"/>
      <w:lvlJc w:val="start"/>
      <w:pPr>
        <w:tabs>
          <w:tab w:val="num" w:pos="36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Symbol" w:hAnsi="Symbol" w:cs="Symbol"/>
    </w:rPr>
  </w:style>
  <w:style w:type="character" w:styleId="WW8NumSt1z0">
    <w:name w:val="WW8NumSt1z0"/>
    <w:qFormat/>
    <w:rPr>
      <w:rFonts w:ascii="Courier New" w:hAnsi="Courier New" w:cs="Courier New"/>
    </w:rPr>
  </w:style>
  <w:style w:type="character" w:styleId="WW8NumSt3z0">
    <w:name w:val="WW8NumSt3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spacing w:lineRule="auto" w:line="24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3"/>
      </w:numPr>
      <w:spacing w:before="0" w:after="120"/>
      <w:ind w:hanging="360" w:start="720" w:end="0"/>
    </w:pPr>
    <w:rPr>
      <w:sz w:val="24"/>
    </w:rPr>
  </w:style>
  <w:style w:type="paragraph" w:styleId="Bullet2">
    <w:name w:val="Bullet #2"/>
    <w:basedOn w:val="Bullet1"/>
    <w:qFormat/>
    <w:pPr>
      <w:numPr>
        <w:ilvl w:val="0"/>
        <w:numId w:val="4"/>
      </w:numPr>
      <w:ind w:hanging="360" w:start="1080" w:end="0"/>
    </w:pPr>
    <w:rPr/>
  </w:style>
  <w:style w:type="paragraph" w:styleId="Bullet3">
    <w:name w:val="Bullet #3"/>
    <w:basedOn w:val="Bullet2"/>
    <w:qFormat/>
    <w:pPr>
      <w:numPr>
        <w:ilvl w:val="0"/>
        <w:numId w:val="5"/>
      </w:numPr>
      <w:ind w:hanging="360" w:start="1440" w:end="0"/>
    </w:pPr>
    <w:rPr/>
  </w:style>
  <w:style w:type="paragraph" w:styleId="eeaopen">
    <w:name w:val="eea open"/>
    <w:basedOn w:val="Normal"/>
    <w:qFormat/>
    <w:pPr>
      <w:spacing w:lineRule="auto" w:line="360"/>
    </w:pPr>
    <w:rPr>
      <w:sz w:val="24"/>
    </w:rPr>
  </w:style>
  <w:style w:type="paragraph" w:styleId="EEAHead1">
    <w:name w:val="EEAHead1"/>
    <w:basedOn w:val="Normal"/>
    <w:qFormat/>
    <w:pPr>
      <w:tabs>
        <w:tab w:val="left" w:pos="720" w:leader="none"/>
      </w:tabs>
      <w:spacing w:before="0" w:after="120"/>
    </w:pPr>
    <w:rPr>
      <w:b/>
      <w:caps/>
      <w:sz w:val="24"/>
    </w:rPr>
  </w:style>
  <w:style w:type="paragraph" w:styleId="EEAHead2">
    <w:name w:val="EEAHead2"/>
    <w:basedOn w:val="EEAHead1"/>
    <w:qFormat/>
    <w:pPr/>
    <w:rPr>
      <w:caps w:val="false"/>
      <w:smallCaps w:val="false"/>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2001-04-13T13:21:00Z</dcterms:created>
  <dc:creator>Joel Bluestein</dc:creator>
  <dc:description/>
  <dc:language>en-CA</dc:language>
  <cp:lastModifiedBy>jkeeler</cp:lastModifiedBy>
  <cp:lastPrinted>2001-04-16T16:35:00Z</cp:lastPrinted>
  <dcterms:modified xsi:type="dcterms:W3CDTF">2001-04-16T18:12:00Z</dcterms:modified>
  <cp:revision>4</cp:revision>
  <dc:subject/>
  <dc:title>Notes for Ken Lay Meeting with Dick Cheney</dc:title>
</cp:coreProperties>
</file>