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Energy Derivatives</w:t>
      </w:r>
    </w:p>
    <w:p>
      <w:pPr>
        <w:pStyle w:val="Normal"/>
        <w:jc w:val="center"/>
        <w:rPr/>
      </w:pPr>
      <w:r>
        <w:rPr/>
        <w:t>Re: Lugar Legislation</w:t>
      </w:r>
    </w:p>
    <w:p>
      <w:pPr>
        <w:pStyle w:val="Normal"/>
        <w:jc w:val="center"/>
        <w:rPr/>
      </w:pPr>
      <w:r>
        <w:rPr/>
      </w:r>
    </w:p>
    <w:p>
      <w:pPr>
        <w:pStyle w:val="Heading1"/>
        <w:ind w:hanging="0" w:start="0"/>
        <w:rPr/>
      </w:pPr>
      <w:r>
        <w:rPr/>
        <w:t>Treatment of Energy Products in Draft Legislation</w:t>
      </w:r>
    </w:p>
    <w:p>
      <w:pPr>
        <w:pStyle w:val="Normal"/>
        <w:numPr>
          <w:ilvl w:val="0"/>
          <w:numId w:val="4"/>
        </w:numPr>
        <w:rPr/>
      </w:pPr>
      <w:r>
        <w:rPr/>
        <w:t>Sec. 5. Legal Certainty for Over-the-Counter Transactions – excludes individually negotiated principal-to-principal transactions between eligible contract participants not executed or traded on a trading facility (except for an excluded electronic trading facility) for excluded commodities. Paragraph (d)(2) includes energy derivatives in this exclusion.  Energy derivatives are subject to manipulation sections 6(c) and 9(a)(2) of the Commodity Exchange Act.</w:t>
      </w:r>
    </w:p>
    <w:p>
      <w:pPr>
        <w:pStyle w:val="Normal"/>
        <w:rPr/>
      </w:pPr>
      <w:r>
        <w:rPr/>
      </w:r>
    </w:p>
    <w:p>
      <w:pPr>
        <w:pStyle w:val="Normal"/>
        <w:numPr>
          <w:ilvl w:val="0"/>
          <w:numId w:val="4"/>
        </w:numPr>
        <w:rPr/>
      </w:pPr>
      <w:r>
        <w:rPr/>
        <w:t>Energy derivatives are defined under Section 1a(13)(D) [page 11. of the draft legislation] as a commodity that does not entitle either party to deliver a tangible good or article and is not;</w:t>
      </w:r>
    </w:p>
    <w:p>
      <w:pPr>
        <w:pStyle w:val="Normal"/>
        <w:numPr>
          <w:ilvl w:val="0"/>
          <w:numId w:val="3"/>
        </w:numPr>
        <w:tabs>
          <w:tab w:val="clear" w:pos="720"/>
          <w:tab w:val="left" w:pos="2520" w:leader="none"/>
        </w:tabs>
        <w:ind w:hanging="360" w:start="2520" w:end="0"/>
        <w:rPr/>
      </w:pPr>
      <w:r>
        <w:rPr/>
        <w:t>an agricultural commodity</w:t>
      </w:r>
    </w:p>
    <w:p>
      <w:pPr>
        <w:pStyle w:val="Normal"/>
        <w:numPr>
          <w:ilvl w:val="0"/>
          <w:numId w:val="3"/>
        </w:numPr>
        <w:tabs>
          <w:tab w:val="clear" w:pos="720"/>
          <w:tab w:val="left" w:pos="2520" w:leader="none"/>
        </w:tabs>
        <w:ind w:hanging="360" w:start="2520" w:end="0"/>
        <w:rPr/>
      </w:pPr>
      <w:r>
        <w:rPr/>
        <w:t xml:space="preserve">a financial commodity, or </w:t>
      </w:r>
    </w:p>
    <w:p>
      <w:pPr>
        <w:pStyle w:val="Normal"/>
        <w:numPr>
          <w:ilvl w:val="0"/>
          <w:numId w:val="3"/>
        </w:numPr>
        <w:tabs>
          <w:tab w:val="clear" w:pos="720"/>
          <w:tab w:val="left" w:pos="2520" w:leader="none"/>
        </w:tabs>
        <w:ind w:hanging="360" w:start="2520" w:end="0"/>
        <w:rPr/>
      </w:pPr>
      <w:r>
        <w:rPr/>
        <w:t>a commodity without supply limitations or a transaction whose payment is determined by a contingency beyond the control of the parties:</w:t>
      </w:r>
    </w:p>
    <w:p>
      <w:pPr>
        <w:pStyle w:val="Normal"/>
        <w:ind w:start="2160" w:end="0"/>
        <w:rPr/>
      </w:pPr>
      <w:r>
        <w:rPr/>
      </w:r>
    </w:p>
    <w:p>
      <w:pPr>
        <w:pStyle w:val="Heading1"/>
        <w:ind w:hanging="0" w:start="0"/>
        <w:rPr/>
      </w:pPr>
      <w:r>
        <w:rPr/>
        <w:t>Energy Derivatives Markets</w:t>
      </w:r>
    </w:p>
    <w:p>
      <w:pPr>
        <w:pStyle w:val="Normal"/>
        <w:numPr>
          <w:ilvl w:val="0"/>
          <w:numId w:val="2"/>
        </w:numPr>
        <w:rPr/>
      </w:pPr>
      <w:r>
        <w:rPr/>
        <w:t xml:space="preserve">Energy derivatives are one of the largest derivatives markets behind financial products. The products impacted are individually negotiated principal-to-principal transactions between eligible contract participants not futures products.  </w:t>
      </w:r>
    </w:p>
    <w:p>
      <w:pPr>
        <w:pStyle w:val="Normal"/>
        <w:rPr/>
      </w:pPr>
      <w:r>
        <w:rPr/>
      </w:r>
    </w:p>
    <w:p>
      <w:pPr>
        <w:pStyle w:val="Normal"/>
        <w:numPr>
          <w:ilvl w:val="0"/>
          <w:numId w:val="2"/>
        </w:numPr>
        <w:rPr/>
      </w:pPr>
      <w:r>
        <w:rPr/>
        <w:t xml:space="preserve">The technological innovation and opportunity facing the energy derivatives markets is not inconsistent with the innovation facing financial products.  The lack of regulatory clarity impedes technological development in energy derivatives due to the potential that electronic and clearing facilities would be regulated under the CEA as an exchange. </w:t>
      </w:r>
    </w:p>
    <w:p>
      <w:pPr>
        <w:pStyle w:val="Normal"/>
        <w:rPr/>
      </w:pPr>
      <w:r>
        <w:rPr/>
      </w:r>
    </w:p>
    <w:p>
      <w:pPr>
        <w:pStyle w:val="Normal"/>
        <w:numPr>
          <w:ilvl w:val="0"/>
          <w:numId w:val="2"/>
        </w:numPr>
        <w:rPr/>
      </w:pPr>
      <w:r>
        <w:rPr/>
        <w:t>This rapidly changing business that will undoubtedly lose market opportunities unless regulatory clarity is achieved.</w:t>
      </w:r>
    </w:p>
    <w:p>
      <w:pPr>
        <w:pStyle w:val="Normal"/>
        <w:rPr/>
      </w:pPr>
      <w:r>
        <w:rPr/>
      </w:r>
    </w:p>
    <w:p>
      <w:pPr>
        <w:pStyle w:val="Normal"/>
        <w:numPr>
          <w:ilvl w:val="0"/>
          <w:numId w:val="2"/>
        </w:numPr>
        <w:rPr/>
      </w:pPr>
      <w:r>
        <w:rPr/>
        <w:t xml:space="preserve">Exclusion of energy derivatives from the Commodity Exchange Act except for antimanipulation provisions of the CEA provides a workable solution for energy derivatives.  </w:t>
      </w:r>
    </w:p>
    <w:p>
      <w:pPr>
        <w:pStyle w:val="Normal"/>
        <w:rPr/>
      </w:pPr>
      <w:r>
        <w:rPr/>
      </w:r>
    </w:p>
    <w:p>
      <w:pPr>
        <w:pStyle w:val="Normal"/>
        <w:numPr>
          <w:ilvl w:val="0"/>
          <w:numId w:val="2"/>
        </w:numPr>
        <w:rPr/>
      </w:pPr>
      <w:r>
        <w:rPr/>
        <w:t xml:space="preserve">By providing comparable treatment for energy products Senator Lugar’s legislation provides necessary regulatory clarity and allows these products to have the ability to take advantage of the technological opportunities that will be available to other markets.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000000"/>
      <w:sz w:val="24"/>
      <w:szCs w:val="20"/>
      <w:lang w:val="en-US" w:eastAsia="zh-CN" w:bidi="hi-IN"/>
    </w:rPr>
  </w:style>
  <w:style w:type="paragraph" w:styleId="Heading1">
    <w:name w:val="heading 1"/>
    <w:basedOn w:val="Normal"/>
    <w:next w:val="Normal"/>
    <w:qFormat/>
    <w:pPr>
      <w:keepNext w:val="true"/>
      <w:numPr>
        <w:ilvl w:val="0"/>
        <w:numId w:val="1"/>
      </w:numPr>
      <w:outlineLvl w:val="0"/>
    </w:pPr>
    <w:rPr>
      <w:i/>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2000-05-02T18:06:00Z</dcterms:created>
  <dc:creator>Stacy Carey</dc:creator>
  <dc:description/>
  <dc:language>en-CA</dc:language>
  <cp:lastModifiedBy>Stacy Carey</cp:lastModifiedBy>
  <cp:lastPrinted>2000-05-02T16:36:00Z</cp:lastPrinted>
  <dcterms:modified xsi:type="dcterms:W3CDTF">2000-05-02T18:06:00Z</dcterms:modified>
  <cp:revision>2</cp:revision>
  <dc:subject/>
  <dc:title>Energy Derivatives</dc:title>
</cp:coreProperties>
</file>