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360"/>
        <w:rPr>
          <w:sz w:val="20"/>
        </w:rPr>
      </w:pPr>
      <w:r>
        <w:rPr>
          <w:sz w:val="20"/>
        </w:rPr>
        <w:t>Energy Committee Meeting Minutes</w:t>
      </w:r>
    </w:p>
    <w:p>
      <w:pPr>
        <w:pStyle w:val="Normal"/>
        <w:ind w:start="-360" w:end="-360"/>
        <w:jc w:val="center"/>
        <w:rPr>
          <w:b/>
          <w:bCs/>
        </w:rPr>
      </w:pPr>
      <w:r>
        <w:rPr>
          <w:b/>
          <w:bCs/>
        </w:rPr>
        <w:t>Wednesday, July 25</w:t>
      </w:r>
    </w:p>
    <w:p>
      <w:pPr>
        <w:pStyle w:val="Heading3"/>
        <w:rPr/>
      </w:pPr>
      <w:r>
        <w:rPr/>
        <w:t>EPRI</w:t>
      </w:r>
    </w:p>
    <w:p>
      <w:pPr>
        <w:pStyle w:val="Normal"/>
        <w:ind w:start="-360" w:end="-360"/>
        <w:jc w:val="center"/>
        <w:rPr>
          <w:b/>
          <w:bCs/>
        </w:rPr>
      </w:pPr>
      <w:r>
        <w:rPr>
          <w:b/>
          <w:bCs/>
        </w:rPr>
        <w:t>3:00-5:00pm</w:t>
      </w:r>
    </w:p>
    <w:p>
      <w:pPr>
        <w:pStyle w:val="Normal"/>
        <w:ind w:start="-360" w:end="-360"/>
        <w:jc w:val="center"/>
        <w:rPr>
          <w:b/>
          <w:bCs/>
        </w:rPr>
      </w:pPr>
      <w:r>
        <w:rPr>
          <w:b/>
          <w:bCs/>
        </w:rPr>
      </w:r>
    </w:p>
    <w:p>
      <w:pPr>
        <w:pStyle w:val="Normal"/>
        <w:ind w:start="-360" w:end="-360"/>
        <w:jc w:val="center"/>
        <w:rPr>
          <w:b/>
          <w:bCs/>
        </w:rPr>
      </w:pPr>
      <w:r>
        <w:rPr>
          <w:b/>
          <w:bCs/>
        </w:rPr>
      </w:r>
    </w:p>
    <w:p>
      <w:pPr>
        <w:pStyle w:val="Normal"/>
        <w:ind w:start="-360" w:end="-360"/>
        <w:rPr>
          <w:b/>
          <w:bCs/>
        </w:rPr>
      </w:pPr>
      <w:r>
        <w:rPr>
          <w:b/>
          <w:bCs/>
        </w:rPr>
        <w:t>Participants:</w:t>
      </w:r>
    </w:p>
    <w:p>
      <w:pPr>
        <w:pStyle w:val="Heading1"/>
        <w:ind w:hanging="0" w:start="-360" w:end="-360"/>
        <w:rPr>
          <w:sz w:val="20"/>
        </w:rPr>
      </w:pPr>
      <w:r>
        <w:rPr>
          <w:sz w:val="20"/>
        </w:rPr>
        <w:t>Justin Bradley, SVMG</w:t>
        <w:tab/>
        <w:tab/>
        <w:t>Jeff Byron, Enerwise</w:t>
        <w:tab/>
        <w:tab/>
        <w:t xml:space="preserve">John Flory, eNMARKET </w:t>
      </w:r>
    </w:p>
    <w:p>
      <w:pPr>
        <w:pStyle w:val="Normal"/>
        <w:ind w:start="-360" w:end="-360"/>
        <w:rPr/>
      </w:pPr>
      <w:r>
        <w:rPr/>
        <w:t>Steve Gehl, EPRI</w:t>
        <w:tab/>
        <w:tab/>
        <w:tab/>
        <w:t>Laura Goldseth, SVMG</w:t>
        <w:tab/>
        <w:tab/>
        <w:t>Renee Guild, Calpine</w:t>
      </w:r>
    </w:p>
    <w:p>
      <w:pPr>
        <w:pStyle w:val="Heading2"/>
        <w:ind w:start="-360" w:end="-360"/>
        <w:rPr>
          <w:sz w:val="20"/>
        </w:rPr>
      </w:pPr>
      <w:r>
        <w:rPr>
          <w:sz w:val="20"/>
        </w:rPr>
        <w:t>Don Hall, PG&amp;E</w:t>
        <w:tab/>
        <w:tab/>
        <w:tab/>
        <w:t>Bill Hult, Greater Bay Bancorp</w:t>
        <w:tab/>
        <w:t>Leslie Hummel, Silicon Energy</w:t>
      </w:r>
    </w:p>
    <w:p>
      <w:pPr>
        <w:pStyle w:val="Normal"/>
        <w:ind w:start="-360" w:end="-360"/>
        <w:rPr/>
      </w:pPr>
      <w:r>
        <w:rPr/>
        <w:t>Karl Johnson, KFJ &amp; Associates</w:t>
        <w:tab/>
        <w:t>Mukesh Khattar, Oracle</w:t>
        <w:tab/>
        <w:tab/>
        <w:t>Peter Klock, Johnson Controls</w:t>
      </w:r>
    </w:p>
    <w:p>
      <w:pPr>
        <w:pStyle w:val="Normal"/>
        <w:ind w:start="-360" w:end="-360"/>
        <w:rPr/>
      </w:pPr>
      <w:r>
        <w:rPr/>
        <w:t>Will Klopp, Cupertino Electric</w:t>
        <w:tab/>
        <w:tab/>
        <w:t>Alex Leupp, SVMG</w:t>
        <w:tab/>
        <w:tab/>
        <w:t>Vito Longo, Consultant</w:t>
      </w:r>
    </w:p>
    <w:p>
      <w:pPr>
        <w:pStyle w:val="Normal"/>
        <w:ind w:start="-360" w:end="-360"/>
        <w:rPr/>
      </w:pPr>
      <w:r>
        <w:rPr/>
        <w:t>KC Mares, Exodus</w:t>
        <w:tab/>
        <w:tab/>
        <w:tab/>
        <w:t>David Morman, CPI</w:t>
        <w:tab/>
        <w:tab/>
        <w:t>Steve Motzko, Solectron</w:t>
      </w:r>
    </w:p>
    <w:p>
      <w:pPr>
        <w:pStyle w:val="Normal"/>
        <w:pBdr>
          <w:bottom w:val="single" w:sz="12" w:space="1" w:color="000000"/>
        </w:pBdr>
        <w:ind w:start="-360" w:end="-360"/>
        <w:rPr/>
      </w:pPr>
      <w:r>
        <w:rPr/>
        <w:t>Bill Smith, EPRI</w:t>
        <w:tab/>
        <w:tab/>
        <w:tab/>
        <w:t>Terry Thomas, Lockheed Martin</w:t>
      </w:r>
    </w:p>
    <w:p>
      <w:pPr>
        <w:pStyle w:val="Normal"/>
        <w:tabs>
          <w:tab w:val="clear" w:pos="720"/>
          <w:tab w:val="left" w:pos="3180" w:leader="none"/>
        </w:tabs>
        <w:ind w:start="-360" w:end="-360"/>
        <w:rPr>
          <w:b/>
          <w:bCs/>
        </w:rPr>
      </w:pPr>
      <w:r>
        <w:rPr>
          <w:b/>
          <w:bCs/>
        </w:rPr>
      </w:r>
    </w:p>
    <w:p>
      <w:pPr>
        <w:pStyle w:val="Normal"/>
        <w:pBdr>
          <w:bottom w:val="single" w:sz="12" w:space="1" w:color="000000"/>
        </w:pBdr>
        <w:tabs>
          <w:tab w:val="clear" w:pos="720"/>
          <w:tab w:val="left" w:pos="3180" w:leader="none"/>
        </w:tabs>
        <w:ind w:start="-360" w:end="-360"/>
        <w:rPr>
          <w:b/>
          <w:bCs/>
        </w:rPr>
      </w:pPr>
      <w:r>
        <w:rPr>
          <w:b/>
          <w:bCs/>
        </w:rPr>
        <w:t xml:space="preserve">Welcome &amp; Self Introductions: </w:t>
      </w:r>
    </w:p>
    <w:p>
      <w:pPr>
        <w:pStyle w:val="Normal"/>
        <w:pBdr>
          <w:bottom w:val="single" w:sz="12" w:space="1" w:color="000000"/>
        </w:pBdr>
        <w:tabs>
          <w:tab w:val="clear" w:pos="720"/>
          <w:tab w:val="left" w:pos="3180" w:leader="none"/>
        </w:tabs>
        <w:ind w:start="-360" w:end="-360"/>
        <w:rPr/>
      </w:pPr>
      <w:r>
        <w:rPr/>
        <w:t>The meeting was called to order at 3:10pm.  The committee was welcomed, followed by self introductions.  The purpose of this meeting was to learn more about the transmission and distribution system and opportunities for distributed generation and to discuss and make a vote on the Spartan I proposed energy center.</w:t>
      </w:r>
    </w:p>
    <w:p>
      <w:pPr>
        <w:pStyle w:val="Normal"/>
        <w:tabs>
          <w:tab w:val="clear" w:pos="720"/>
          <w:tab w:val="left" w:pos="3180" w:leader="none"/>
        </w:tabs>
        <w:ind w:start="-360" w:end="-360"/>
        <w:rPr/>
      </w:pPr>
      <w:r>
        <w:rPr/>
      </w:r>
    </w:p>
    <w:p>
      <w:pPr>
        <w:pStyle w:val="Normal"/>
        <w:tabs>
          <w:tab w:val="clear" w:pos="720"/>
          <w:tab w:val="left" w:pos="3180" w:leader="none"/>
        </w:tabs>
        <w:ind w:start="-360" w:end="-360"/>
        <w:rPr>
          <w:b/>
          <w:bCs/>
        </w:rPr>
      </w:pPr>
      <w:r>
        <w:rPr>
          <w:b/>
          <w:bCs/>
        </w:rPr>
        <w:t xml:space="preserve">Guest Presentation – Transmission and Distribution Vulnerabilities and Policy Thrusts: </w:t>
      </w:r>
    </w:p>
    <w:p>
      <w:pPr>
        <w:pStyle w:val="Normal"/>
        <w:pBdr>
          <w:bottom w:val="single" w:sz="12" w:space="1" w:color="000000"/>
        </w:pBdr>
        <w:tabs>
          <w:tab w:val="clear" w:pos="720"/>
          <w:tab w:val="left" w:pos="3180" w:leader="none"/>
        </w:tabs>
        <w:ind w:start="-360" w:end="-360"/>
        <w:rPr/>
      </w:pPr>
      <w:r>
        <w:rPr/>
        <w:t>Ronald Hofmann, former CEO and founder of Energy Line, made a presentation to the Committee outlining the crisis that is unfolding within the transmission and distribution system.  His focus is on viable long-term solutions through a restructure of the current system.  This would entail the automation of the distribution network and implementation of either fixed or mobile on-site distributed generation.  This alternative would be cost driven rather than regulation driven and will allow for more flexibility and minimized energy costs.  Copies of this presentation are available.  Please contact the SVMG offices for more information.</w:t>
      </w:r>
    </w:p>
    <w:p>
      <w:pPr>
        <w:pStyle w:val="Normal"/>
        <w:tabs>
          <w:tab w:val="clear" w:pos="720"/>
          <w:tab w:val="left" w:pos="3180" w:leader="none"/>
        </w:tabs>
        <w:ind w:start="-360" w:end="-360"/>
        <w:rPr/>
      </w:pPr>
      <w:r>
        <w:rPr/>
      </w:r>
    </w:p>
    <w:p>
      <w:pPr>
        <w:pStyle w:val="Normal"/>
        <w:tabs>
          <w:tab w:val="clear" w:pos="720"/>
          <w:tab w:val="left" w:pos="3180" w:leader="none"/>
        </w:tabs>
        <w:ind w:start="-360" w:end="-360"/>
        <w:rPr>
          <w:b/>
          <w:bCs/>
        </w:rPr>
      </w:pPr>
      <w:r>
        <w:rPr>
          <w:b/>
          <w:bCs/>
        </w:rPr>
        <w:t>Spartan I Energy Center:</w:t>
      </w:r>
    </w:p>
    <w:p>
      <w:pPr>
        <w:pStyle w:val="Normal"/>
        <w:pBdr>
          <w:bottom w:val="single" w:sz="12" w:space="1" w:color="000000"/>
        </w:pBdr>
        <w:tabs>
          <w:tab w:val="clear" w:pos="720"/>
          <w:tab w:val="left" w:pos="3180" w:leader="none"/>
        </w:tabs>
        <w:ind w:start="-360" w:end="-360"/>
        <w:rPr/>
      </w:pPr>
      <w:r>
        <w:rPr/>
        <w:t>Jason DiNapoli, President of Spartan Power, provided a brief presentation of the proposed Spartan I Energy Center.  The proposal underwent extensive review by representatives of the Land Use, Environment and Energy Committees and has been submitted for review and approval by this Committee.  The Spartan I will provide local back-up generation to the Evergreen and downtown areas through the 115kv line.  It will be located in a designated heavy industrial zone with access to a natural gas system, land which is owned by Spartan Energy.  It will operate for 2,000 hours a year and will be equipped with state of the art emission controls.  Spartan Energy will be contracted long term to sell power into the grid and will obtain a lifetime simple cycle license through the standard 6 month CEC process.  Local opposition consists of noise and visual concerns only.  Groundbreaking is expected in June 2002.  A motion to support the Spartan project was made by Bill Hult and was second by Don Hall.  The floor was then opened for discussion after which the Committee voted.   The motion passed with no abstentions.</w:t>
      </w:r>
    </w:p>
    <w:p>
      <w:pPr>
        <w:pStyle w:val="Normal"/>
        <w:tabs>
          <w:tab w:val="clear" w:pos="720"/>
          <w:tab w:val="left" w:pos="3180" w:leader="none"/>
        </w:tabs>
        <w:ind w:start="-360" w:end="-360"/>
        <w:rPr/>
      </w:pPr>
      <w:r>
        <w:rPr/>
      </w:r>
    </w:p>
    <w:p>
      <w:pPr>
        <w:pStyle w:val="Normal"/>
        <w:tabs>
          <w:tab w:val="clear" w:pos="720"/>
          <w:tab w:val="left" w:pos="3180" w:leader="none"/>
        </w:tabs>
        <w:ind w:start="-360" w:end="-360"/>
        <w:rPr>
          <w:b/>
          <w:bCs/>
        </w:rPr>
      </w:pPr>
      <w:r>
        <w:rPr>
          <w:b/>
          <w:bCs/>
        </w:rPr>
        <w:t>Subcommittee Reports:</w:t>
      </w:r>
    </w:p>
    <w:p>
      <w:pPr>
        <w:pStyle w:val="Normal"/>
        <w:tabs>
          <w:tab w:val="clear" w:pos="720"/>
          <w:tab w:val="left" w:pos="3180" w:leader="none"/>
        </w:tabs>
        <w:ind w:start="-360" w:end="-360"/>
        <w:rPr/>
      </w:pPr>
      <w:r>
        <w:rPr>
          <w:u w:val="single"/>
        </w:rPr>
        <w:t>Legislative / Regulatory</w:t>
      </w:r>
      <w:r>
        <w:rPr/>
        <w:t xml:space="preserve"> – The legislative subcommittee continues to advocate for sound policy decisions in Sacramento with a constant presence through the efforts of Derek Naten, John Redding, and Justin Bradley.  This Friday there may be some activity on two of the bills we have been following.  Justin will keep us informed.</w:t>
      </w:r>
    </w:p>
    <w:p>
      <w:pPr>
        <w:pStyle w:val="Normal"/>
        <w:tabs>
          <w:tab w:val="clear" w:pos="720"/>
          <w:tab w:val="left" w:pos="3180" w:leader="none"/>
        </w:tabs>
        <w:ind w:start="-360" w:end="-360"/>
        <w:rPr/>
      </w:pPr>
      <w:r>
        <w:rPr/>
      </w:r>
    </w:p>
    <w:p>
      <w:pPr>
        <w:pStyle w:val="Normal"/>
        <w:tabs>
          <w:tab w:val="clear" w:pos="720"/>
          <w:tab w:val="left" w:pos="3180" w:leader="none"/>
        </w:tabs>
        <w:ind w:start="-360" w:end="-360"/>
        <w:rPr/>
      </w:pPr>
      <w:r>
        <w:rPr>
          <w:u w:val="single"/>
        </w:rPr>
        <w:t>Electric Infrastructure Team</w:t>
      </w:r>
      <w:r>
        <w:rPr/>
        <w:t xml:space="preserve"> – No report made.</w:t>
      </w:r>
    </w:p>
    <w:p>
      <w:pPr>
        <w:pStyle w:val="Normal"/>
        <w:tabs>
          <w:tab w:val="clear" w:pos="720"/>
          <w:tab w:val="left" w:pos="3180" w:leader="none"/>
        </w:tabs>
        <w:ind w:start="-360" w:end="-360"/>
        <w:rPr/>
      </w:pPr>
      <w:r>
        <w:rPr/>
      </w:r>
    </w:p>
    <w:p>
      <w:pPr>
        <w:pStyle w:val="Normal"/>
        <w:tabs>
          <w:tab w:val="clear" w:pos="720"/>
          <w:tab w:val="left" w:pos="3180" w:leader="none"/>
        </w:tabs>
        <w:ind w:start="-360" w:end="-360"/>
        <w:rPr/>
      </w:pPr>
      <w:r>
        <w:rPr>
          <w:u w:val="single"/>
        </w:rPr>
        <w:t>Blackout Notification</w:t>
      </w:r>
      <w:r>
        <w:rPr/>
        <w:t xml:space="preserve"> – The ISO Board met today.  They have voted for a more sufficient program along the lines of our and the Governors expectations.  Carl will carry the message to the ISO to implement regional meetings to clarify the needs of specific types of companies in regards to blackout notification.</w:t>
      </w:r>
    </w:p>
    <w:p>
      <w:pPr>
        <w:pStyle w:val="Normal"/>
        <w:tabs>
          <w:tab w:val="clear" w:pos="720"/>
          <w:tab w:val="left" w:pos="3180" w:leader="none"/>
        </w:tabs>
        <w:ind w:start="-360" w:end="-360"/>
        <w:rPr/>
      </w:pPr>
      <w:r>
        <w:rPr/>
      </w:r>
    </w:p>
    <w:p>
      <w:pPr>
        <w:pStyle w:val="Normal"/>
        <w:tabs>
          <w:tab w:val="clear" w:pos="720"/>
          <w:tab w:val="left" w:pos="3180" w:leader="none"/>
        </w:tabs>
        <w:ind w:start="-360" w:end="-360"/>
        <w:rPr/>
      </w:pPr>
      <w:r>
        <w:rPr>
          <w:u w:val="single"/>
        </w:rPr>
        <w:t>Business Continuity</w:t>
      </w:r>
      <w:r>
        <w:rPr/>
        <w:t xml:space="preserve"> – The PUC draft decision on the Real Time Pricing Tariff has been released.  Discussions continue between Governor Davis and the CEC to modify the program.  The HRO is likely to be dropped, however, PG&amp;E concurs on the temperature dependency issue and a strategy is being worked out on how to address.  The deadline for comments is tomorrow, July 26.  A brief poll was taken to identify how many member companies represented would be interested in participating in the HRO of the RTP program.  About a third represented expressed interest.</w:t>
      </w:r>
    </w:p>
    <w:p>
      <w:pPr>
        <w:pStyle w:val="Normal"/>
        <w:tabs>
          <w:tab w:val="clear" w:pos="720"/>
          <w:tab w:val="left" w:pos="3180" w:leader="none"/>
        </w:tabs>
        <w:ind w:start="-360" w:end="-360"/>
        <w:rPr/>
      </w:pPr>
      <w:r>
        <w:rPr/>
      </w:r>
    </w:p>
    <w:p>
      <w:pPr>
        <w:pStyle w:val="Normal"/>
        <w:tabs>
          <w:tab w:val="clear" w:pos="720"/>
          <w:tab w:val="left" w:pos="3180" w:leader="none"/>
        </w:tabs>
        <w:ind w:start="-360" w:end="-360"/>
        <w:rPr/>
      </w:pPr>
      <w:r>
        <w:rPr>
          <w:u w:val="single"/>
        </w:rPr>
        <w:t>Direct Access Task Force</w:t>
      </w:r>
      <w:r>
        <w:rPr/>
        <w:t xml:space="preserve"> – Direct access is currently buried in the Hertzberg legislation.  More will be known in the coming weeks.</w:t>
      </w:r>
    </w:p>
    <w:p>
      <w:pPr>
        <w:pStyle w:val="Normal"/>
        <w:tabs>
          <w:tab w:val="clear" w:pos="720"/>
          <w:tab w:val="left" w:pos="3180" w:leader="none"/>
        </w:tabs>
        <w:ind w:start="-360" w:end="-360"/>
        <w:rPr/>
      </w:pPr>
      <w:r>
        <w:rPr/>
      </w:r>
    </w:p>
    <w:p>
      <w:pPr>
        <w:pStyle w:val="Normal"/>
        <w:tabs>
          <w:tab w:val="clear" w:pos="720"/>
          <w:tab w:val="left" w:pos="3180" w:leader="none"/>
        </w:tabs>
        <w:ind w:start="-360" w:end="-360"/>
        <w:rPr/>
      </w:pPr>
      <w:r>
        <w:rPr>
          <w:u w:val="single"/>
        </w:rPr>
        <w:t>Real Time Pricing Task Force</w:t>
      </w:r>
      <w:r>
        <w:rPr/>
        <w:t xml:space="preserve"> – Justin Bradley will prepare our response to the proposed decision.</w:t>
      </w:r>
    </w:p>
    <w:p>
      <w:pPr>
        <w:pStyle w:val="Normal"/>
        <w:tabs>
          <w:tab w:val="clear" w:pos="720"/>
          <w:tab w:val="left" w:pos="3180" w:leader="none"/>
        </w:tabs>
        <w:ind w:start="-360" w:end="-360"/>
        <w:rPr/>
      </w:pPr>
      <w:r>
        <w:rPr/>
      </w:r>
    </w:p>
    <w:p>
      <w:pPr>
        <w:pStyle w:val="Normal"/>
        <w:tabs>
          <w:tab w:val="clear" w:pos="720"/>
          <w:tab w:val="left" w:pos="3180" w:leader="none"/>
        </w:tabs>
        <w:ind w:start="-360" w:end="-360"/>
        <w:rPr/>
      </w:pPr>
      <w:r>
        <w:rPr>
          <w:u w:val="single"/>
        </w:rPr>
        <w:t>SVMG-NRDC Collaborative</w:t>
      </w:r>
      <w:r>
        <w:rPr/>
        <w:t xml:space="preserve"> – August 24 Energy Efficiency Conference details provided.  A joint white paper will be released at this conference.  Comments and questions are welcome.  Please contact the SVMG for more info.  Also, the Mercury has offered to run an article of ‘success stories’ for energy efficiency.  If you have any compelling stories to share, please contact Justin Bradley.</w:t>
      </w:r>
    </w:p>
    <w:p>
      <w:pPr>
        <w:pStyle w:val="Normal"/>
        <w:tabs>
          <w:tab w:val="clear" w:pos="720"/>
          <w:tab w:val="left" w:pos="3180" w:leader="none"/>
        </w:tabs>
        <w:ind w:start="-360" w:end="-360"/>
        <w:rPr/>
      </w:pPr>
      <w:r>
        <w:rPr/>
      </w:r>
    </w:p>
    <w:p>
      <w:pPr>
        <w:pStyle w:val="Normal"/>
        <w:tabs>
          <w:tab w:val="clear" w:pos="720"/>
          <w:tab w:val="left" w:pos="3180" w:leader="none"/>
        </w:tabs>
        <w:ind w:start="-360" w:end="-360"/>
        <w:rPr/>
      </w:pPr>
      <w:r>
        <w:rPr>
          <w:u w:val="single"/>
        </w:rPr>
        <w:t>Team Building</w:t>
      </w:r>
      <w:r>
        <w:rPr/>
        <w:t xml:space="preserve"> – In early October we will host a recognition and celebration event where we will look back at the last year, share stories, and award members for the excellent work.  More to come….</w:t>
      </w:r>
    </w:p>
    <w:p>
      <w:pPr>
        <w:pStyle w:val="Normal"/>
        <w:tabs>
          <w:tab w:val="clear" w:pos="720"/>
          <w:tab w:val="left" w:pos="3180" w:leader="none"/>
        </w:tabs>
        <w:ind w:start="-360" w:end="-360"/>
        <w:rPr/>
      </w:pPr>
      <w:r>
        <w:rPr/>
      </w:r>
    </w:p>
    <w:p>
      <w:pPr>
        <w:pStyle w:val="Normal"/>
        <w:pBdr>
          <w:bottom w:val="single" w:sz="12" w:space="1" w:color="000000"/>
        </w:pBdr>
        <w:tabs>
          <w:tab w:val="clear" w:pos="720"/>
          <w:tab w:val="left" w:pos="3180" w:leader="none"/>
        </w:tabs>
        <w:ind w:start="-360" w:end="-360"/>
        <w:rPr/>
      </w:pPr>
      <w:r>
        <w:rPr>
          <w:u w:val="single"/>
        </w:rPr>
        <w:t>BAAQMD Air Rules</w:t>
      </w:r>
      <w:r>
        <w:rPr/>
        <w:t xml:space="preserve"> – The Board will meet on August 1 to vote on the staff proposal for generation rules.  Final comments due by July 30.  An update will be provided to the Committee at the next meeting.</w:t>
      </w:r>
    </w:p>
    <w:p>
      <w:pPr>
        <w:pStyle w:val="Normal"/>
        <w:tabs>
          <w:tab w:val="clear" w:pos="720"/>
          <w:tab w:val="left" w:pos="3180" w:leader="none"/>
        </w:tabs>
        <w:ind w:start="-360" w:end="-360"/>
        <w:rPr/>
      </w:pPr>
      <w:r>
        <w:rPr/>
      </w:r>
    </w:p>
    <w:p>
      <w:pPr>
        <w:pStyle w:val="Normal"/>
        <w:tabs>
          <w:tab w:val="clear" w:pos="720"/>
          <w:tab w:val="left" w:pos="3180" w:leader="none"/>
        </w:tabs>
        <w:ind w:start="-360" w:end="-360"/>
        <w:rPr/>
      </w:pPr>
      <w:r>
        <w:rPr>
          <w:b/>
          <w:bCs/>
        </w:rPr>
        <w:t>Director’s Report:</w:t>
      </w:r>
      <w:r>
        <w:rPr/>
        <w:t xml:space="preserve">  No report made.</w:t>
      </w:r>
    </w:p>
    <w:p>
      <w:pPr>
        <w:pStyle w:val="Normal"/>
        <w:tabs>
          <w:tab w:val="clear" w:pos="720"/>
          <w:tab w:val="left" w:pos="3180" w:leader="none"/>
        </w:tabs>
        <w:ind w:start="-360" w:end="-360"/>
        <w:rPr/>
      </w:pPr>
      <w:r>
        <w:rPr/>
      </w:r>
    </w:p>
    <w:p>
      <w:pPr>
        <w:pStyle w:val="Normal"/>
        <w:pBdr>
          <w:bottom w:val="single" w:sz="12" w:space="1" w:color="000000"/>
        </w:pBdr>
        <w:tabs>
          <w:tab w:val="clear" w:pos="720"/>
          <w:tab w:val="left" w:pos="3180" w:leader="none"/>
        </w:tabs>
        <w:ind w:start="-360" w:end="-360"/>
        <w:rPr/>
      </w:pPr>
      <w:r>
        <w:rPr>
          <w:b/>
          <w:bCs/>
        </w:rPr>
        <w:t>Chairs Report:</w:t>
      </w:r>
      <w:r>
        <w:rPr/>
        <w:t xml:space="preserve">  No report made.</w:t>
      </w:r>
    </w:p>
    <w:p>
      <w:pPr>
        <w:pStyle w:val="Normal"/>
        <w:tabs>
          <w:tab w:val="clear" w:pos="720"/>
          <w:tab w:val="left" w:pos="3180" w:leader="none"/>
        </w:tabs>
        <w:ind w:start="-360" w:end="-360"/>
        <w:rPr/>
      </w:pPr>
      <w:r>
        <w:rPr/>
      </w:r>
    </w:p>
    <w:p>
      <w:pPr>
        <w:pStyle w:val="Normal"/>
        <w:pBdr>
          <w:bottom w:val="single" w:sz="12" w:space="1" w:color="000000"/>
        </w:pBdr>
        <w:tabs>
          <w:tab w:val="clear" w:pos="720"/>
          <w:tab w:val="left" w:pos="3180" w:leader="none"/>
        </w:tabs>
        <w:ind w:start="-360" w:end="-360"/>
        <w:rPr/>
      </w:pPr>
      <w:r>
        <w:rPr>
          <w:b/>
          <w:bCs/>
        </w:rPr>
        <w:t xml:space="preserve">New Business:  </w:t>
      </w:r>
      <w:r>
        <w:rPr/>
        <w:t xml:space="preserve">Long Range Planning – the Committee was asked to provide feedback and suggestions for future meeting topics and potential guest speakers.  The following is a compilation of the feedback that was provided.  Please keep this in mind as we continue to plan for the rest of the year.  Contact the SVMG with suggestions. </w:t>
      </w:r>
    </w:p>
    <w:p>
      <w:pPr>
        <w:pStyle w:val="Normal"/>
        <w:pBdr>
          <w:bottom w:val="single" w:sz="12" w:space="1" w:color="000000"/>
        </w:pBdr>
        <w:tabs>
          <w:tab w:val="clear" w:pos="720"/>
          <w:tab w:val="left" w:pos="3180" w:leader="none"/>
        </w:tabs>
        <w:ind w:start="-360" w:end="-360"/>
        <w:rPr>
          <w:b/>
          <w:bCs/>
        </w:rPr>
      </w:pPr>
      <w:r>
        <w:rPr>
          <w:b/>
          <w:bCs/>
        </w:rPr>
      </w:r>
    </w:p>
    <w:p>
      <w:pPr>
        <w:pStyle w:val="Normal"/>
        <w:pBdr>
          <w:bottom w:val="single" w:sz="12" w:space="1" w:color="000000"/>
        </w:pBdr>
        <w:tabs>
          <w:tab w:val="clear" w:pos="720"/>
          <w:tab w:val="left" w:pos="3180" w:leader="none"/>
        </w:tabs>
        <w:ind w:start="-360" w:end="-360"/>
        <w:rPr/>
      </w:pPr>
      <w:r>
        <w:rPr>
          <w:b/>
          <w:bCs/>
        </w:rPr>
        <w:t xml:space="preserve">Issues:  </w:t>
      </w:r>
      <w:r>
        <w:rPr/>
        <w:t>regulatory streamlining, alternative proposals to total transmission system upgrade, reform of regulatory system, role of distributed generation, role of transmission upgrades, role of demand shifting technologies and cogeneration systems in context of regulatory system and rate design, effect of interval meter installation for end users on energy usage and cost allocation reporting, improved methods of local/distributed generation, total resource plan for Silicon Valley (next 20 years), draft dg language, natural gas capacity issues, communication technologies for dg,  aggregation (success stories/examples), update on transmission upgrade projects and their bottlenecks.</w:t>
      </w:r>
    </w:p>
    <w:p>
      <w:pPr>
        <w:pStyle w:val="Normal"/>
        <w:tabs>
          <w:tab w:val="clear" w:pos="720"/>
          <w:tab w:val="left" w:pos="3180" w:leader="none"/>
        </w:tabs>
        <w:ind w:start="-360" w:end="-360"/>
        <w:rPr/>
      </w:pPr>
      <w:r>
        <w:rPr/>
      </w:r>
    </w:p>
    <w:p>
      <w:pPr>
        <w:pStyle w:val="Normal"/>
        <w:tabs>
          <w:tab w:val="clear" w:pos="720"/>
          <w:tab w:val="left" w:pos="3180" w:leader="none"/>
        </w:tabs>
        <w:ind w:start="-360" w:end="-360"/>
        <w:rPr>
          <w:b/>
          <w:bCs/>
        </w:rPr>
      </w:pPr>
      <w:r>
        <w:rPr>
          <w:b/>
          <w:bCs/>
        </w:rPr>
        <w:t>Action Items:</w:t>
      </w:r>
    </w:p>
    <w:p>
      <w:pPr>
        <w:pStyle w:val="Normal"/>
        <w:tabs>
          <w:tab w:val="clear" w:pos="720"/>
          <w:tab w:val="left" w:pos="3180" w:leader="none"/>
        </w:tabs>
        <w:ind w:start="-360" w:end="-360"/>
        <w:rPr/>
      </w:pPr>
      <w:r>
        <w:rPr/>
        <w:t xml:space="preserve">   </w:t>
      </w:r>
      <w:r>
        <w:rPr/>
        <w:t>1.  BAAQMD Board meeting report at next Committee meeting.</w:t>
      </w:r>
    </w:p>
    <w:p>
      <w:pPr>
        <w:pStyle w:val="Normal"/>
        <w:pBdr>
          <w:bottom w:val="single" w:sz="12" w:space="1" w:color="000000"/>
        </w:pBdr>
        <w:tabs>
          <w:tab w:val="clear" w:pos="720"/>
          <w:tab w:val="left" w:pos="3180" w:leader="none"/>
        </w:tabs>
        <w:ind w:start="-360" w:end="-360"/>
        <w:rPr/>
      </w:pPr>
      <w:r>
        <w:rPr/>
        <w:t xml:space="preserve">   </w:t>
      </w:r>
      <w:r>
        <w:rPr/>
        <w:t>2.  Committee members have been asked to brainstorm on future goals of the Energy Committee.</w:t>
      </w:r>
    </w:p>
    <w:p>
      <w:pPr>
        <w:pStyle w:val="Normal"/>
        <w:tabs>
          <w:tab w:val="clear" w:pos="720"/>
          <w:tab w:val="left" w:pos="3180" w:leader="none"/>
        </w:tabs>
        <w:ind w:start="-360" w:end="-360"/>
        <w:rPr/>
      </w:pPr>
      <w:r>
        <w:rPr/>
      </w:r>
    </w:p>
    <w:p>
      <w:pPr>
        <w:pStyle w:val="Normal"/>
        <w:tabs>
          <w:tab w:val="clear" w:pos="720"/>
          <w:tab w:val="left" w:pos="3180" w:leader="none"/>
        </w:tabs>
        <w:ind w:start="-360" w:end="-360"/>
        <w:rPr>
          <w:b/>
          <w:bCs/>
        </w:rPr>
      </w:pPr>
      <w:r>
        <w:rPr>
          <w:b/>
          <w:bCs/>
        </w:rPr>
        <w:t>Meeting adjourned at 5:20.</w:t>
      </w:r>
    </w:p>
    <w:p>
      <w:pPr>
        <w:pStyle w:val="Normal"/>
        <w:tabs>
          <w:tab w:val="clear" w:pos="720"/>
          <w:tab w:val="left" w:pos="3180" w:leader="none"/>
        </w:tabs>
        <w:ind w:start="-360" w:end="-360"/>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0" w:start="-720" w:end="-900"/>
      <w:outlineLvl w:val="1"/>
    </w:pPr>
    <w:rPr>
      <w:sz w:val="24"/>
    </w:rPr>
  </w:style>
  <w:style w:type="paragraph" w:styleId="Heading3">
    <w:name w:val="heading 3"/>
    <w:basedOn w:val="Normal"/>
    <w:next w:val="Normal"/>
    <w:qFormat/>
    <w:pPr>
      <w:keepNext w:val="true"/>
      <w:numPr>
        <w:ilvl w:val="2"/>
        <w:numId w:val="1"/>
      </w:numPr>
      <w:ind w:hanging="0" w:start="-360" w:end="-360"/>
      <w:jc w:val="center"/>
      <w:outlineLvl w:val="2"/>
    </w:pPr>
    <w:rPr>
      <w:b/>
      <w:bCs/>
    </w:rPr>
  </w:style>
  <w:style w:type="character" w:styleId="DefaultParagraphFont">
    <w:name w:val="Default Paragraph Font"/>
    <w:qFormat/>
    <w:rPr/>
  </w:style>
  <w:style w:type="paragraph" w:styleId="Heading">
    <w:name w:val="Heading"/>
    <w:basedOn w:val="Normal"/>
    <w:next w:val="BodyText"/>
    <w:qFormat/>
    <w:pPr>
      <w:jc w:val="center"/>
    </w:pPr>
    <w:rPr>
      <w:b/>
      <w:bCs/>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2001-07-26T13:39:00Z</dcterms:created>
  <dc:creator>Administrator</dc:creator>
  <dc:description/>
  <dc:language>en-CA</dc:language>
  <cp:lastModifiedBy>Administrator</cp:lastModifiedBy>
  <cp:lastPrinted>2001-07-27T10:40:00Z</cp:lastPrinted>
  <dcterms:modified xsi:type="dcterms:W3CDTF">2001-07-27T15:10:00Z</dcterms:modified>
  <cp:revision>3</cp:revision>
  <dc:subject/>
  <dc:title>Energy Committee Meeting Minutes</dc:title>
</cp:coreProperties>
</file>