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Wednesday, August 8</w:t>
      </w:r>
    </w:p>
    <w:p>
      <w:pPr>
        <w:pStyle w:val="Normal"/>
        <w:jc w:val="center"/>
        <w:rPr>
          <w:b/>
          <w:bCs/>
        </w:rPr>
      </w:pPr>
      <w:r>
        <w:rPr>
          <w:b/>
          <w:bCs/>
        </w:rPr>
        <w:t>Hewlett Packard</w:t>
      </w:r>
    </w:p>
    <w:p>
      <w:pPr>
        <w:pStyle w:val="Normal"/>
        <w:jc w:val="center"/>
        <w:rPr>
          <w:b/>
          <w:bCs/>
        </w:rPr>
      </w:pPr>
      <w:r>
        <w:rPr>
          <w:b/>
          <w:bCs/>
        </w:rPr>
        <w:t>3:00 – 5:00pm</w:t>
      </w:r>
    </w:p>
    <w:p>
      <w:pPr>
        <w:pStyle w:val="Normal"/>
        <w:jc w:val="center"/>
        <w:rPr>
          <w:b/>
          <w:bCs/>
        </w:rPr>
      </w:pPr>
      <w:r>
        <w:rPr>
          <w:b/>
          <w:bCs/>
        </w:rPr>
      </w:r>
    </w:p>
    <w:p>
      <w:pPr>
        <w:pStyle w:val="Normal"/>
        <w:jc w:val="center"/>
        <w:rPr>
          <w:b/>
          <w:bCs/>
        </w:rPr>
      </w:pPr>
      <w:r>
        <w:rPr>
          <w:b/>
          <w:bCs/>
        </w:rPr>
      </w:r>
    </w:p>
    <w:p>
      <w:pPr>
        <w:pStyle w:val="Normal"/>
        <w:rPr>
          <w:b/>
          <w:bCs/>
        </w:rPr>
      </w:pPr>
      <w:r>
        <w:rPr>
          <w:b/>
          <w:bCs/>
        </w:rPr>
        <w:t>Participants:</w:t>
      </w:r>
    </w:p>
    <w:p>
      <w:pPr>
        <w:pStyle w:val="Normal"/>
        <w:pBdr>
          <w:bottom w:val="single" w:sz="12" w:space="1" w:color="000000"/>
        </w:pBdr>
        <w:rPr/>
      </w:pPr>
      <w:r>
        <w:rPr/>
        <w:t>Barbara Barkovich, Barkovich &amp; Yap</w:t>
        <w:tab/>
        <w:t>Jeff Byron, Enerwise</w:t>
        <w:tab/>
        <w:tab/>
        <w:t>Joseph Cussen, Catalytica</w:t>
      </w:r>
    </w:p>
    <w:p>
      <w:pPr>
        <w:pStyle w:val="Normal"/>
        <w:pBdr>
          <w:bottom w:val="single" w:sz="12" w:space="1" w:color="000000"/>
        </w:pBdr>
        <w:rPr/>
      </w:pPr>
      <w:r>
        <w:rPr/>
        <w:t>Keith Dias, Compaq</w:t>
        <w:tab/>
        <w:tab/>
        <w:tab/>
        <w:t>Peter Evans, Consultant</w:t>
        <w:tab/>
        <w:tab/>
        <w:t>Dave Ghosh, Ultratech Stepper</w:t>
      </w:r>
    </w:p>
    <w:p>
      <w:pPr>
        <w:pStyle w:val="Normal"/>
        <w:pBdr>
          <w:bottom w:val="single" w:sz="12" w:space="1" w:color="000000"/>
        </w:pBdr>
        <w:rPr/>
      </w:pPr>
      <w:r>
        <w:rPr/>
        <w:t>Anne Hatcher, Consultant</w:t>
        <w:tab/>
        <w:tab/>
        <w:tab/>
        <w:t>Ron Hoffman, Consultant</w:t>
        <w:tab/>
        <w:tab/>
        <w:t>Bill Hult, Greater Bay Bancorp</w:t>
      </w:r>
    </w:p>
    <w:p>
      <w:pPr>
        <w:pStyle w:val="Normal"/>
        <w:pBdr>
          <w:bottom w:val="single" w:sz="12" w:space="1" w:color="000000"/>
        </w:pBdr>
        <w:rPr/>
      </w:pPr>
      <w:r>
        <w:rPr/>
        <w:t>Karl Johnson, KFJ &amp; Associates</w:t>
        <w:tab/>
        <w:tab/>
        <w:t>Mukesh Khattar, Oracle</w:t>
        <w:tab/>
        <w:tab/>
        <w:t>Don McIntosh, AMD</w:t>
      </w:r>
    </w:p>
    <w:p>
      <w:pPr>
        <w:pStyle w:val="Normal"/>
        <w:pBdr>
          <w:bottom w:val="single" w:sz="12" w:space="1" w:color="000000"/>
        </w:pBdr>
        <w:rPr/>
      </w:pPr>
      <w:r>
        <w:rPr/>
        <w:t>Ben Mehta, PG&amp;E</w:t>
        <w:tab/>
        <w:tab/>
        <w:tab/>
        <w:t>Steve Motzko, Solectron</w:t>
        <w:tab/>
        <w:tab/>
        <w:t>Cari Porter, Samceda</w:t>
      </w:r>
    </w:p>
    <w:p>
      <w:pPr>
        <w:pStyle w:val="Normal"/>
        <w:pBdr>
          <w:bottom w:val="single" w:sz="12" w:space="1" w:color="000000"/>
        </w:pBdr>
        <w:rPr/>
      </w:pPr>
      <w:r>
        <w:rPr/>
        <w:t>Paul Radcliffe, EPRI</w:t>
        <w:tab/>
        <w:tab/>
        <w:tab/>
        <w:t>Dave Slifer, Planergy</w:t>
        <w:tab/>
        <w:tab/>
        <w:t>Bill Smith, EPRI</w:t>
      </w:r>
    </w:p>
    <w:p>
      <w:pPr>
        <w:pStyle w:val="Normal"/>
        <w:pBdr>
          <w:bottom w:val="single" w:sz="12" w:space="1" w:color="000000"/>
        </w:pBdr>
        <w:rPr/>
      </w:pPr>
      <w:r>
        <w:rPr/>
        <w:t>Paul Stephens, Hewlett Packard</w:t>
        <w:tab/>
        <w:tab/>
        <w:t>Nelson Meeks, Clorox</w:t>
        <w:tab/>
        <w:tab/>
        <w:t>Bill Winnerling, EPRI</w:t>
      </w:r>
    </w:p>
    <w:p>
      <w:pPr>
        <w:pStyle w:val="Normal"/>
        <w:pBdr>
          <w:bottom w:val="single" w:sz="12" w:space="1" w:color="000000"/>
        </w:pBdr>
        <w:rPr/>
      </w:pPr>
      <w:r>
        <w:rPr/>
        <w:t>Gil Hensley, PG&amp;E</w:t>
        <w:tab/>
        <w:tab/>
        <w:tab/>
        <w:t>Doug Charlton, D&amp;T</w:t>
        <w:tab/>
        <w:tab/>
        <w:t>Randal Kaufman, PowerLink</w:t>
      </w:r>
    </w:p>
    <w:p>
      <w:pPr>
        <w:pStyle w:val="Normal"/>
        <w:pBdr>
          <w:bottom w:val="single" w:sz="12" w:space="1" w:color="000000"/>
        </w:pBdr>
        <w:rPr/>
      </w:pPr>
      <w:r>
        <w:rPr/>
        <w:t>John Storfold, KLA Tencor</w:t>
        <w:tab/>
        <w:tab/>
        <w:t>Justin Bradley, SVMG</w:t>
        <w:tab/>
        <w:tab/>
        <w:t>Laura Goldseth, SVMG</w:t>
        <w:tab/>
        <w:t xml:space="preserve"> </w:t>
      </w:r>
    </w:p>
    <w:p>
      <w:pPr>
        <w:pStyle w:val="Normal"/>
        <w:rPr/>
      </w:pPr>
      <w:r>
        <w:rPr/>
      </w:r>
    </w:p>
    <w:p>
      <w:pPr>
        <w:pStyle w:val="Normal"/>
        <w:rPr>
          <w:b/>
          <w:bCs/>
        </w:rPr>
      </w:pPr>
      <w:r>
        <w:rPr>
          <w:b/>
          <w:bCs/>
        </w:rPr>
        <w:t>Welcome &amp; Self-Introductions:</w:t>
      </w:r>
    </w:p>
    <w:p>
      <w:pPr>
        <w:pStyle w:val="Normal"/>
        <w:pBdr>
          <w:bottom w:val="single" w:sz="12" w:space="1" w:color="000000"/>
        </w:pBdr>
        <w:rPr/>
      </w:pPr>
      <w:r>
        <w:rPr/>
        <w:t>The meeting was called to order at 3:10pm.  The committee was welcomed followed by self-introductions and a brief introduction of our guest speakers by Justin Bradley.  The purpose of this meeting was to participate in a presentation on Power Quality and Energy Efficiency facilitated by two of the leading experts in the field.  Also, to learn of the new back-up generation rules adopted by the BAAQMD.</w:t>
      </w:r>
    </w:p>
    <w:p>
      <w:pPr>
        <w:pStyle w:val="Normal"/>
        <w:rPr/>
      </w:pPr>
      <w:r>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b/>
          <w:bCs/>
          <w:lang w:val="en-US" w:eastAsia="en-US"/>
        </w:rPr>
      </w:pPr>
      <w:r>
        <w:rPr>
          <w:rFonts w:cs="Times New Roman" w:ascii="Times New Roman" w:hAnsi="Times New Roman"/>
          <w:b/>
          <w:bCs/>
          <w:lang w:val="en-US" w:eastAsia="en-US"/>
        </w:rPr>
        <w:t xml:space="preserve">Guest Presentation - </w:t>
      </w:r>
      <w:r>
        <w:rPr>
          <w:rFonts w:cs="Times New Roman" w:ascii="Times New Roman" w:hAnsi="Times New Roman"/>
          <w:b/>
          <w:bCs/>
        </w:rPr>
        <w:t>Power Quality, Compatible Energy Efficiency and Conservation:</w:t>
      </w:r>
    </w:p>
    <w:p>
      <w:pPr>
        <w:pStyle w:val="Normal"/>
        <w:pBdr>
          <w:bottom w:val="single" w:sz="12" w:space="1" w:color="000000"/>
        </w:pBdr>
        <w:rPr/>
      </w:pPr>
      <w:r>
        <w:rPr/>
        <w:t>Sid Bhatt, Target Manager of Power Quality for EPRI, made a presentation on the overlapping nature of power quality, end use customer equipment and process reliability issues with energy conservation issues -- indicating how over all goals of energy conservation and efficiency can be better achieved through the cooperative and proactive roles of the ISO, Utilities and end users utilizing system understanding from both sides of the meter.  Alex McEachern of Power Standards Lab discussed power quality from the industrial/commercial perspective -- national and international standards, how equipment manufacturers are responding to worsening power, and some of the latest zero-cost tricks for improving power quality.  The PowerPoint presentations of both discussions will be distributed to the Energy Committee for reference.</w:t>
      </w:r>
    </w:p>
    <w:p>
      <w:pPr>
        <w:pStyle w:val="Normal"/>
        <w:rPr/>
      </w:pPr>
      <w:r>
        <w:rPr/>
      </w:r>
    </w:p>
    <w:p>
      <w:pPr>
        <w:pStyle w:val="Normal"/>
        <w:rPr>
          <w:b/>
          <w:bCs/>
        </w:rPr>
      </w:pPr>
      <w:r>
        <w:rPr>
          <w:b/>
          <w:bCs/>
        </w:rPr>
        <w:t>BAAQMD Board Meeting Report Back:</w:t>
      </w:r>
    </w:p>
    <w:p>
      <w:pPr>
        <w:pStyle w:val="MacroText"/>
        <w:widowControl/>
        <w:pBdr>
          <w:bottom w:val="single" w:sz="12" w:space="1" w:color="000000"/>
        </w:pBdr>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t>On August 1, the BAAQMD Board adopted new back-up generation rules.  The new rules require that any engine 50 horsepower and above must be permitted.  They also determine that a mobile source operating for more than 72 hours is deemed permanent and is therefore subject to BAAQMD rules.  All engines must be permitted within 90 days of learning of the new rules, which will be distributed through letters sent by the BAAQMD.  Existing generators are not exempt from new permitting rules but are allowed unlimited run time during declared emergencies (please note that an emergency is determined only when your site is experiencing a blackout NOT when a blackout has been called for by the ISO or Utility).  Records of Emergency and Test use will require to be maintained for 2 years and will be subject to review by the BAAQMD.  The discretionary use stipulation has been removed.  The penalty for any violation of these rules with be in the form of a monetary fine.  Further permit requirements and generation rules can be found on the BAAQMD website.  Steve Motzko’s PowerPoint presentation will be distributed to the Energy Committee for reference.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b/>
          <w:bCs/>
          <w:lang w:val="en-US" w:eastAsia="en-US"/>
        </w:rPr>
      </w:pPr>
      <w:r>
        <w:rPr>
          <w:rFonts w:cs="Times New Roman" w:ascii="Times New Roman" w:hAnsi="Times New Roman"/>
          <w:b/>
          <w:bCs/>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b/>
          <w:bCs/>
          <w:lang w:val="en-US" w:eastAsia="en-US"/>
        </w:rPr>
      </w:pPr>
      <w:r>
        <w:rPr>
          <w:rFonts w:cs="Times New Roman" w:ascii="Times New Roman" w:hAnsi="Times New Roman"/>
          <w:b/>
          <w:bCs/>
          <w:lang w:val="en-US" w:eastAsia="en-US"/>
        </w:rPr>
        <w:t>Subcommittee Reports:</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u w:val="single"/>
          <w:lang w:val="en-US" w:eastAsia="en-US"/>
        </w:rPr>
        <w:t>Legislative / Regulatory</w:t>
      </w:r>
      <w:r>
        <w:rPr>
          <w:rFonts w:cs="Times New Roman" w:ascii="Times New Roman" w:hAnsi="Times New Roman"/>
          <w:lang w:val="en-US" w:eastAsia="en-US"/>
        </w:rPr>
        <w:t xml:space="preserve"> – Barbara Barkovich provided a summary of legislative activity.  The two bills that we are most concerned with at this juncture are the SCE bail out bills, AB82 X2 and SB78 X2.  The legislation is currently on recess.  The session will reconvene on August 20 until September 14 unless a third extraordinary session is called.  The legislature and many business groups, including the SVMG, have been working on a compromise between these two bills that will address the Utilities undercollection and the issuance of the bonds while being equitable for business.  The Senate bill kills direct access while the Assembly bill leaves very little room for direct contracting associated with very high exit fees.  There is no clear language on self generation in either bill.  The Edison bail out will be used as a template for dealing with PG&amp;E’s undercollection and any decision made on direct access will be implemented statewide.  It is imperative that member companies make contact with their representatives wherever their company has a site.  This outreach can be done through phone calls, faxes, and personal meetings.  The SVMG will provide to its member companies the actual Business Community Coalition letter opposing these two bills and providing suggestions to make the legislation more equitable.  We will also provide bullet points that can be used when speaking to legislators on this issue.  For further information and a list of the appropriate representatives please contact Justin Bradley at the Manufacturing Group.</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u w:val="single"/>
          <w:lang w:val="en-US" w:eastAsia="en-US"/>
        </w:rPr>
      </w:pPr>
      <w:r>
        <w:rPr>
          <w:rFonts w:cs="Times New Roman" w:ascii="Times New Roman" w:hAnsi="Times New Roman"/>
          <w:u w:val="single"/>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u w:val="single"/>
          <w:lang w:val="en-US" w:eastAsia="en-US"/>
        </w:rPr>
        <w:t>Electric Infrastructure Team</w:t>
      </w:r>
      <w:r>
        <w:rPr>
          <w:rFonts w:cs="Times New Roman" w:ascii="Times New Roman" w:hAnsi="Times New Roman"/>
          <w:lang w:val="en-US" w:eastAsia="en-US"/>
        </w:rPr>
        <w:t xml:space="preserve"> – Spartan I passed on the Working Council Consent Calendar with no opposition.  The first public hearing on the Russell City Energy Center was on Tuesday, August 7.  The hearing went very well and provided much feedback.  The Team will review the South City Energy Project on Thursday, August 9.</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Normal"/>
        <w:rPr/>
      </w:pPr>
      <w:r>
        <w:rPr>
          <w:u w:val="single"/>
        </w:rPr>
        <w:t>Blackout Notification</w:t>
      </w:r>
      <w:r>
        <w:rPr/>
        <w:t xml:space="preserve"> – The ISO has been tasked with conducting a series of workshops intended to be a two-way forum for the ISO to communicate its notification plan to interested parties and to obtain feedback from companies on how the program should be implemented to achieve maximum benefit.  The first of such workshops will take place on September 7 in the Silicon Valley…..details to follow.</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u w:val="single"/>
          <w:lang w:val="en-US" w:eastAsia="en-US"/>
        </w:rPr>
        <w:t>Business Continuity</w:t>
      </w:r>
      <w:r>
        <w:rPr>
          <w:rFonts w:cs="Times New Roman" w:ascii="Times New Roman" w:hAnsi="Times New Roman"/>
          <w:lang w:val="en-US" w:eastAsia="en-US"/>
        </w:rPr>
        <w:t xml:space="preserve"> – No report made as the subcommittee did not meet.</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u w:val="single"/>
          <w:lang w:val="en-US" w:eastAsia="en-US"/>
        </w:rPr>
        <w:t>Direct Access Task Force</w:t>
      </w:r>
      <w:r>
        <w:rPr>
          <w:rFonts w:cs="Times New Roman" w:ascii="Times New Roman" w:hAnsi="Times New Roman"/>
          <w:lang w:val="en-US" w:eastAsia="en-US"/>
        </w:rPr>
        <w:t xml:space="preserve"> – Direct Access is currently held up in the Edison MOU legislation.</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Normal"/>
        <w:rPr/>
      </w:pPr>
      <w:r>
        <w:rPr>
          <w:u w:val="single"/>
        </w:rPr>
        <w:t>Real Time Pricing Task Force</w:t>
      </w:r>
      <w:r>
        <w:rPr/>
        <w:t xml:space="preserve"> – The CPUC rejected the CEC’s modified proposal and issued its modified position.  All business customers with demand greater that 200kw will receive an interval meter.  These customers must elect to participate in a demand response program 2 weeks within receiving the meters otherwise they will be moved to a time of use tariff.  The Utilities are currently filing new time of use tariffs for medium size customers.  All Utilities are required to file new RTP tariff’s before month’s end.  Currently, 400 interval meters are being installed a month for PG&amp;E customers.  It will take 3 more months for the communication network to be installed.  The meters will receive 2 years funding by the CEC.</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u w:val="single"/>
          <w:lang w:val="en-US" w:eastAsia="en-US"/>
        </w:rPr>
        <w:t>SVMG-NRDC Collaborative</w:t>
      </w:r>
      <w:r>
        <w:rPr>
          <w:rFonts w:cs="Times New Roman" w:ascii="Times New Roman" w:hAnsi="Times New Roman"/>
          <w:lang w:val="en-US" w:eastAsia="en-US"/>
        </w:rPr>
        <w:t xml:space="preserve"> – Information including registration forms for the August 24 Energy Efficiency Conference were distributed.  This information is available on the SVMG website.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pBdr>
          <w:bottom w:val="single" w:sz="12" w:space="1" w:color="000000"/>
        </w:pBdr>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u w:val="single"/>
          <w:lang w:val="en-US" w:eastAsia="en-US"/>
        </w:rPr>
        <w:t>Team Building</w:t>
      </w:r>
      <w:r>
        <w:rPr>
          <w:rFonts w:cs="Times New Roman" w:ascii="Times New Roman" w:hAnsi="Times New Roman"/>
          <w:lang w:val="en-US" w:eastAsia="en-US"/>
        </w:rPr>
        <w:t xml:space="preserve"> – No report made.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b/>
          <w:bCs/>
          <w:lang w:val="en-US" w:eastAsia="en-US"/>
        </w:rPr>
        <w:t>Director’s Report:</w:t>
      </w:r>
      <w:r>
        <w:rPr>
          <w:rFonts w:cs="Times New Roman" w:ascii="Times New Roman" w:hAnsi="Times New Roman"/>
          <w:lang w:val="en-US" w:eastAsia="en-US"/>
        </w:rPr>
        <w:t xml:space="preserve">  No report made out of interest for time.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pBdr>
          <w:bottom w:val="single" w:sz="12" w:space="1" w:color="000000"/>
        </w:pBdr>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b/>
          <w:bCs/>
          <w:lang w:val="en-US" w:eastAsia="en-US"/>
        </w:rPr>
        <w:t>Chair’s Report:</w:t>
      </w:r>
      <w:r>
        <w:rPr>
          <w:rFonts w:cs="Times New Roman" w:ascii="Times New Roman" w:hAnsi="Times New Roman"/>
          <w:lang w:val="en-US" w:eastAsia="en-US"/>
        </w:rPr>
        <w:t xml:space="preserve">  No report made out of interest for time.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pBdr>
          <w:bottom w:val="single" w:sz="12" w:space="1" w:color="000000"/>
        </w:pBdr>
        <w:tabs>
          <w:tab w:val="clear" w:pos="475"/>
          <w:tab w:val="clear" w:pos="950"/>
          <w:tab w:val="clear" w:pos="1426"/>
          <w:tab w:val="clear" w:pos="1915"/>
          <w:tab w:val="clear" w:pos="2390"/>
          <w:tab w:val="clear" w:pos="2866"/>
          <w:tab w:val="clear" w:pos="3355"/>
          <w:tab w:val="clear" w:pos="3830"/>
          <w:tab w:val="clear" w:pos="4306"/>
        </w:tabs>
        <w:rPr/>
      </w:pPr>
      <w:r>
        <w:rPr>
          <w:rFonts w:cs="Times New Roman" w:ascii="Times New Roman" w:hAnsi="Times New Roman"/>
          <w:b/>
          <w:bCs/>
          <w:lang w:val="en-US" w:eastAsia="en-US"/>
        </w:rPr>
        <w:t>New Business:</w:t>
      </w:r>
      <w:r>
        <w:rPr>
          <w:rFonts w:cs="Times New Roman" w:ascii="Times New Roman" w:hAnsi="Times New Roman"/>
          <w:lang w:val="en-US" w:eastAsia="en-US"/>
        </w:rPr>
        <w:t xml:space="preserve">  There is no new business to discuss.</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b/>
          <w:bCs/>
          <w:lang w:val="en-US" w:eastAsia="en-US"/>
        </w:rPr>
        <w:t>Action Items:</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ind w:start="150" w:end="0"/>
        <w:rPr>
          <w:rFonts w:ascii="Times New Roman" w:hAnsi="Times New Roman" w:cs="Times New Roman"/>
          <w:lang w:val="en-US" w:eastAsia="en-US"/>
        </w:rPr>
      </w:pPr>
      <w:r>
        <w:rPr>
          <w:rFonts w:cs="Times New Roman" w:ascii="Times New Roman" w:hAnsi="Times New Roman"/>
          <w:lang w:val="en-US" w:eastAsia="en-US"/>
        </w:rPr>
        <w:t xml:space="preserve">1.  Distribute the Business Coalition letter to the committee with bullet points for talking with legislators on the  </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ind w:start="150" w:end="0"/>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Edison MOU.</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2.  Distribute to the committee the presentations made today on Power Quality.</w:t>
      </w:r>
    </w:p>
    <w:p>
      <w:pPr>
        <w:pStyle w:val="MacroText"/>
        <w:widowControl/>
        <w:pBdr>
          <w:bottom w:val="single" w:sz="12" w:space="1" w:color="000000"/>
        </w:pBdr>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3.  Distribute to the committee the presentation made on the BAAQMD rules.</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b/>
          <w:bCs/>
          <w:lang w:val="en-US" w:eastAsia="en-US"/>
        </w:rPr>
      </w:pPr>
      <w:r>
        <w:rPr>
          <w:rFonts w:cs="Times New Roman" w:ascii="Times New Roman" w:hAnsi="Times New Roman"/>
          <w:b/>
          <w:bCs/>
          <w:lang w:val="en-US" w:eastAsia="en-US"/>
        </w:rPr>
        <w:t>Meeting adjourned at 5:10pm.</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b/>
          <w:bCs/>
          <w:lang w:val="en-US" w:eastAsia="en-US"/>
        </w:rPr>
      </w:pPr>
      <w:r>
        <w:rPr>
          <w:rFonts w:cs="Times New Roman" w:ascii="Times New Roman" w:hAnsi="Times New Roman"/>
          <w:b/>
          <w:bCs/>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r>
    </w:p>
    <w:sectPr>
      <w:type w:val="nextPage"/>
      <w:pgSz w:w="12240" w:h="15840"/>
      <w:pgMar w:left="1800" w:right="126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2001-08-09T18:59:00Z</dcterms:created>
  <dc:creator>Administrator</dc:creator>
  <dc:description/>
  <dc:language>en-CA</dc:language>
  <cp:lastModifiedBy>Administrator</cp:lastModifiedBy>
  <dcterms:modified xsi:type="dcterms:W3CDTF">2001-08-17T17:03:00Z</dcterms:modified>
  <cp:revision>5</cp:revision>
  <dc:subject/>
  <dc:title>Energy Committee Meeting Minutes</dc:title>
</cp:coreProperties>
</file>