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Energy Committee Meeting</w:t>
      </w:r>
    </w:p>
    <w:p>
      <w:pPr>
        <w:pStyle w:val="Normal"/>
        <w:jc w:val="center"/>
        <w:rPr>
          <w:b/>
          <w:bCs/>
        </w:rPr>
      </w:pPr>
      <w:r>
        <w:rPr>
          <w:b/>
          <w:bCs/>
        </w:rPr>
        <w:t>EPRI</w:t>
      </w:r>
    </w:p>
    <w:p>
      <w:pPr>
        <w:pStyle w:val="Normal"/>
        <w:jc w:val="center"/>
        <w:rPr>
          <w:b/>
          <w:bCs/>
        </w:rPr>
      </w:pPr>
      <w:r>
        <w:rPr>
          <w:b/>
          <w:bCs/>
        </w:rPr>
        <w:t>April 9, 2001</w:t>
      </w:r>
    </w:p>
    <w:p>
      <w:pPr>
        <w:pStyle w:val="Normal"/>
        <w:jc w:val="center"/>
        <w:rPr>
          <w:b/>
          <w:bCs/>
        </w:rPr>
      </w:pPr>
      <w:r>
        <w:rPr>
          <w:b/>
          <w:bCs/>
        </w:rPr>
        <w:t>3:00 – 5:00</w:t>
      </w:r>
    </w:p>
    <w:p>
      <w:pPr>
        <w:pStyle w:val="Normal"/>
        <w:jc w:val="center"/>
        <w:rPr>
          <w:b/>
          <w:bCs/>
        </w:rPr>
      </w:pPr>
      <w:r>
        <w:rPr>
          <w:b/>
          <w:bCs/>
        </w:rPr>
      </w:r>
    </w:p>
    <w:p>
      <w:pPr>
        <w:pStyle w:val="Normal"/>
        <w:jc w:val="center"/>
        <w:rPr>
          <w:b/>
          <w:bCs/>
        </w:rPr>
      </w:pPr>
      <w:r>
        <w:rPr>
          <w:b/>
          <w:bCs/>
        </w:rPr>
      </w:r>
    </w:p>
    <w:p>
      <w:pPr>
        <w:pStyle w:val="Normal"/>
        <w:rPr>
          <w:b/>
          <w:bCs/>
        </w:rPr>
      </w:pPr>
      <w:r>
        <w:rPr>
          <w:b/>
          <w:bCs/>
        </w:rPr>
        <w:t>Members Present:</w:t>
      </w:r>
    </w:p>
    <w:p>
      <w:pPr>
        <w:pStyle w:val="Normal"/>
        <w:rPr/>
      </w:pPr>
      <w:r>
        <w:rPr/>
        <w:t>Casey Beyer, Exodus</w:t>
        <w:tab/>
        <w:t>Ted Cunningham, SJSU</w:t>
        <w:tab/>
        <w:tab/>
        <w:t>Joe Cussen, Catalytica</w:t>
      </w:r>
    </w:p>
    <w:p>
      <w:pPr>
        <w:pStyle w:val="Normal"/>
        <w:rPr/>
      </w:pPr>
      <w:r>
        <w:rPr/>
        <w:t>Peter Evans</w:t>
        <w:tab/>
        <w:tab/>
        <w:t>Don Hall, PG&amp;E</w:t>
        <w:tab/>
        <w:tab/>
        <w:tab/>
        <w:t>Tony Fisher, New United Motor Mfg.</w:t>
      </w:r>
    </w:p>
    <w:p>
      <w:pPr>
        <w:pStyle w:val="Normal"/>
        <w:rPr/>
      </w:pPr>
      <w:r>
        <w:rPr/>
        <w:t xml:space="preserve">Renee Guild </w:t>
        <w:tab/>
        <w:tab/>
        <w:t>Ann Hatcher</w:t>
        <w:tab/>
        <w:tab/>
        <w:tab/>
        <w:t>Harry Hobbs, Sun Microsystems</w:t>
      </w:r>
    </w:p>
    <w:p>
      <w:pPr>
        <w:pStyle w:val="Normal"/>
        <w:rPr/>
      </w:pPr>
      <w:r>
        <w:rPr/>
        <w:t>Jeff Byron</w:t>
        <w:tab/>
        <w:tab/>
        <w:t>Jim Hunter, Compaq</w:t>
        <w:tab/>
        <w:tab/>
        <w:t>Dan Hoffman, Network Appliances</w:t>
      </w:r>
    </w:p>
    <w:p>
      <w:pPr>
        <w:pStyle w:val="Normal"/>
        <w:rPr/>
      </w:pPr>
      <w:r>
        <w:rPr/>
        <w:t>Bill Smith, EPRI</w:t>
        <w:tab/>
        <w:tab/>
        <w:t>Lori Johnson, Cargill Salt</w:t>
        <w:tab/>
        <w:tab/>
        <w:t>Peter Klock, Johnson Controls</w:t>
      </w:r>
    </w:p>
    <w:p>
      <w:pPr>
        <w:pStyle w:val="Normal"/>
        <w:rPr/>
      </w:pPr>
      <w:r>
        <w:rPr/>
        <w:t>Peter Lowe, Analog</w:t>
        <w:tab/>
        <w:t>John Martin, AMD</w:t>
        <w:tab/>
        <w:tab/>
        <w:t>Don McIntosh, AMD</w:t>
      </w:r>
    </w:p>
    <w:p>
      <w:pPr>
        <w:pStyle w:val="Normal"/>
        <w:rPr/>
      </w:pPr>
      <w:r>
        <w:rPr/>
        <w:t>Jerry Meek, Roche</w:t>
        <w:tab/>
        <w:t>Ben Mehta, PG&amp;E</w:t>
        <w:tab/>
        <w:tab/>
        <w:t>Steve Motzko, Solectron</w:t>
      </w:r>
    </w:p>
    <w:p>
      <w:pPr>
        <w:pStyle w:val="Normal"/>
        <w:rPr/>
      </w:pPr>
      <w:r>
        <w:rPr/>
        <w:t>Derek Naten, Roche</w:t>
        <w:tab/>
        <w:t>Paul Radcliffe, EPRI</w:t>
        <w:tab/>
        <w:tab/>
        <w:t>Mukesh Khattar, Oracle</w:t>
      </w:r>
    </w:p>
    <w:p>
      <w:pPr>
        <w:pStyle w:val="Normal"/>
        <w:rPr/>
      </w:pPr>
      <w:r>
        <w:rPr/>
        <w:t>Paul Stephens, HP</w:t>
        <w:tab/>
        <w:t>Ellen Petrill, EPRI</w:t>
        <w:tab/>
        <w:tab/>
        <w:t>Kindel Blau, Spvr. Kniss’ Office</w:t>
        <w:tab/>
      </w:r>
    </w:p>
    <w:p>
      <w:pPr>
        <w:pStyle w:val="Normal"/>
        <w:pBdr>
          <w:bottom w:val="single" w:sz="12" w:space="1" w:color="000000"/>
        </w:pBdr>
        <w:rPr/>
      </w:pPr>
      <w:r>
        <w:rPr/>
        <w:t xml:space="preserve">Don VonDollen, EPRI </w:t>
        <w:tab/>
        <w:t>Justin Bradley, SVMG</w:t>
        <w:tab/>
        <w:tab/>
        <w:t>Laura Goldseth, SVMG</w:t>
      </w:r>
    </w:p>
    <w:p>
      <w:pPr>
        <w:pStyle w:val="Normal"/>
        <w:rPr>
          <w:b/>
          <w:bCs/>
        </w:rPr>
      </w:pPr>
      <w:r>
        <w:rPr>
          <w:b/>
          <w:bCs/>
        </w:rPr>
      </w:r>
    </w:p>
    <w:p>
      <w:pPr>
        <w:pStyle w:val="Normal"/>
        <w:rPr>
          <w:b/>
          <w:bCs/>
        </w:rPr>
      </w:pPr>
      <w:r>
        <w:rPr>
          <w:b/>
          <w:bCs/>
        </w:rPr>
        <w:t>Subcommittee Reports:</w:t>
      </w:r>
    </w:p>
    <w:p>
      <w:pPr>
        <w:pStyle w:val="Normal"/>
        <w:rPr/>
      </w:pPr>
      <w:r>
        <w:rPr>
          <w:u w:val="single"/>
        </w:rPr>
        <w:t>Business Continuity</w:t>
      </w:r>
      <w:r>
        <w:rPr/>
        <w:t xml:space="preserve"> – This group will be sending representatives to the PUC hearing on Wednesday, April 11.  They will be leaving from Hewlett Packard at 8:30am.  They will provide commentary to the committee.</w:t>
      </w:r>
    </w:p>
    <w:p>
      <w:pPr>
        <w:pStyle w:val="Normal"/>
        <w:rPr/>
      </w:pPr>
      <w:r>
        <w:rPr/>
      </w:r>
    </w:p>
    <w:p>
      <w:pPr>
        <w:pStyle w:val="Normal"/>
        <w:rPr/>
      </w:pPr>
      <w:r>
        <w:rPr>
          <w:u w:val="single"/>
        </w:rPr>
        <w:t>Electric Infrastructure</w:t>
      </w:r>
      <w:r>
        <w:rPr/>
        <w:t xml:space="preserve"> – The Tri-Valley Transmission project has been approved at Working Council and will be brought to the Board on April 16.  This group continues to look for projects for review.  If anyone has any suggestions regarding possible projects please contact Don McIntosh.</w:t>
      </w:r>
    </w:p>
    <w:p>
      <w:pPr>
        <w:pStyle w:val="Normal"/>
        <w:rPr/>
      </w:pPr>
      <w:r>
        <w:rPr/>
      </w:r>
    </w:p>
    <w:p>
      <w:pPr>
        <w:pStyle w:val="Normal"/>
        <w:rPr/>
      </w:pPr>
      <w:r>
        <w:rPr>
          <w:u w:val="single"/>
        </w:rPr>
        <w:t>Tools Conference</w:t>
      </w:r>
      <w:r>
        <w:rPr/>
        <w:t xml:space="preserve"> – Sponsors are coming in and final preparations are being made.</w:t>
      </w:r>
    </w:p>
    <w:p>
      <w:pPr>
        <w:pStyle w:val="Normal"/>
        <w:rPr/>
      </w:pPr>
      <w:r>
        <w:rPr/>
      </w:r>
    </w:p>
    <w:p>
      <w:pPr>
        <w:pStyle w:val="Normal"/>
        <w:rPr/>
      </w:pPr>
      <w:r>
        <w:rPr>
          <w:u w:val="single"/>
        </w:rPr>
        <w:t>Legislative Subcommittee</w:t>
      </w:r>
      <w:r>
        <w:rPr/>
        <w:t xml:space="preserve"> – With this group busy discussing the rate proposals brought forth by the PUC and Governor Davis progress in legislation has been haulted.  Two bills have been sent to the Governor’s desk for signing, SBX5 and ABX29.  Both of these bills appropriate funds for conservation, the latter allowing for real time pricing and small distributed generation projects.  Paul Stevenson questions the relevance of SBX5 to business and asks that the subcommittee research a proposed $250/Kw stipulation to this bill.</w:t>
      </w:r>
    </w:p>
    <w:p>
      <w:pPr>
        <w:pStyle w:val="Normal"/>
        <w:pBdr>
          <w:top w:val="single" w:sz="12" w:space="1" w:color="000000"/>
          <w:bottom w:val="single" w:sz="12" w:space="1" w:color="000000"/>
        </w:pBdr>
        <w:rPr>
          <w:b/>
          <w:bCs/>
        </w:rPr>
      </w:pPr>
      <w:r>
        <w:rPr>
          <w:b/>
          <w:bCs/>
        </w:rPr>
      </w:r>
    </w:p>
    <w:p>
      <w:pPr>
        <w:pStyle w:val="Normal"/>
        <w:pBdr>
          <w:top w:val="single" w:sz="12" w:space="1" w:color="000000"/>
          <w:bottom w:val="single" w:sz="12" w:space="1" w:color="000000"/>
        </w:pBdr>
        <w:rPr>
          <w:b/>
          <w:bCs/>
        </w:rPr>
      </w:pPr>
      <w:r>
        <w:rPr>
          <w:b/>
          <w:bCs/>
        </w:rPr>
        <w:t>Guest Speakers:</w:t>
      </w:r>
    </w:p>
    <w:p>
      <w:pPr>
        <w:pStyle w:val="BodyText"/>
        <w:rPr/>
      </w:pPr>
      <w:r>
        <w:rPr/>
        <w:t>Clark Gellings was unable to participate.  Paul Radcliffe spoke in his place about public and private partnership opportunities.  He distributed information on the CEIDS program and asked for those interested to contact Rob Petri or himself at EPRI.</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t xml:space="preserve">Terry Surles of the California Energy Commission discussed collaboration opportunities within the CEC.  He would like to gain a better understanding of the groups needs and concerns to find mutual ground for partnerships.  He presented information on the Public Interest Energy Research (PIER) Program, which is a $62 million a year program dedicated to finding reliable energy solutions.  He would like for us to begin discussion on possible collaborations in the areas of load curtailment, supply and power quality, storage and conservation, and reliability.  A follow-up meeting will take place tomorrow, Tuesday, April 10 at 3pm at EPRI.  For more information see the CEC website.  </w:t>
      </w:r>
    </w:p>
    <w:p>
      <w:pPr>
        <w:pStyle w:val="Normal"/>
        <w:rPr>
          <w:b/>
          <w:bCs/>
        </w:rPr>
      </w:pPr>
      <w:r>
        <w:rPr>
          <w:b/>
          <w:bCs/>
        </w:rPr>
        <w:t>Response to Governor’s Speech:</w:t>
      </w:r>
    </w:p>
    <w:p>
      <w:pPr>
        <w:pStyle w:val="Normal"/>
        <w:pBdr>
          <w:bottom w:val="single" w:sz="12" w:space="1" w:color="000000"/>
        </w:pBdr>
        <w:rPr/>
      </w:pPr>
      <w:r>
        <w:rPr/>
        <w:t>The groups main concern is that the rate increase be equitable among all classes.</w:t>
      </w:r>
    </w:p>
    <w:p>
      <w:pPr>
        <w:pStyle w:val="Normal"/>
        <w:rPr/>
      </w:pPr>
      <w:r>
        <w:rPr/>
      </w:r>
    </w:p>
    <w:p>
      <w:pPr>
        <w:pStyle w:val="Normal"/>
        <w:rPr>
          <w:b/>
          <w:bCs/>
        </w:rPr>
      </w:pPr>
      <w:r>
        <w:rPr>
          <w:b/>
          <w:bCs/>
        </w:rPr>
        <w:t>Impacts of PG&amp;E Bankruptcy:</w:t>
      </w:r>
    </w:p>
    <w:p>
      <w:pPr>
        <w:pStyle w:val="Normal"/>
        <w:pBdr>
          <w:bottom w:val="single" w:sz="12" w:space="1" w:color="000000"/>
        </w:pBdr>
        <w:rPr/>
      </w:pPr>
      <w:r>
        <w:rPr/>
        <w:t>PG&amp;E will continue business as usual.  Filing for bankruptcy appeared to be the only option.  The PUC will continue to be the implementing power but now decision-making is turned over to a bankruptcy judge who will take a more business based approach rather than a political one.  The bankruptcy should not further the supply shortage.    Don Hall will keep us updated.</w:t>
      </w:r>
    </w:p>
    <w:p>
      <w:pPr>
        <w:pStyle w:val="Normal"/>
        <w:pBdr>
          <w:bottom w:val="single" w:sz="12" w:space="1" w:color="000000"/>
        </w:pBdr>
        <w:rPr>
          <w:b/>
          <w:bCs/>
        </w:rPr>
      </w:pPr>
      <w:r>
        <w:rPr>
          <w:b/>
          <w:bCs/>
        </w:rPr>
      </w:r>
    </w:p>
    <w:p>
      <w:pPr>
        <w:pStyle w:val="Normal"/>
        <w:pBdr>
          <w:bottom w:val="single" w:sz="12" w:space="1" w:color="000000"/>
        </w:pBdr>
        <w:rPr>
          <w:b/>
          <w:bCs/>
        </w:rPr>
      </w:pPr>
      <w:r>
        <w:rPr>
          <w:b/>
          <w:bCs/>
        </w:rPr>
        <w:t>Real Time Pricing Discussion:</w:t>
      </w:r>
    </w:p>
    <w:p>
      <w:pPr>
        <w:pStyle w:val="Normal"/>
        <w:pBdr>
          <w:bottom w:val="single" w:sz="12" w:space="1" w:color="000000"/>
        </w:pBdr>
        <w:rPr/>
      </w:pPr>
      <w:r>
        <w:rPr/>
        <w:t>The committee has expressed concern over the proposal and is interested in reviewing and weighing in on it before it becomes too late.  This system may well be implemented without our input.  The committee feels a need to influence the proposal and the way it is implemented.  Right now real time pricing is the only alternative being discussed and is worthy of a thorough review.  Barbara Barkovich will participate in the next committee meeting when this item will be finalized.</w:t>
      </w:r>
    </w:p>
    <w:p>
      <w:pPr>
        <w:pStyle w:val="Normal"/>
        <w:pBdr>
          <w:top w:val="single" w:sz="12" w:space="1" w:color="000000"/>
          <w:bottom w:val="single" w:sz="12" w:space="1" w:color="000000"/>
        </w:pBdr>
        <w:rPr>
          <w:b/>
          <w:bCs/>
        </w:rPr>
      </w:pPr>
      <w:r>
        <w:rPr>
          <w:b/>
          <w:bCs/>
        </w:rPr>
      </w:r>
    </w:p>
    <w:p>
      <w:pPr>
        <w:pStyle w:val="Normal"/>
        <w:pBdr>
          <w:top w:val="single" w:sz="12" w:space="1" w:color="000000"/>
          <w:bottom w:val="single" w:sz="12" w:space="1" w:color="000000"/>
        </w:pBdr>
        <w:rPr>
          <w:b/>
          <w:bCs/>
        </w:rPr>
      </w:pPr>
      <w:r>
        <w:rPr>
          <w:b/>
          <w:bCs/>
        </w:rPr>
        <w:t>FERC Nominations Vote:</w:t>
      </w:r>
    </w:p>
    <w:p>
      <w:pPr>
        <w:pStyle w:val="BodyText"/>
        <w:rPr/>
      </w:pPr>
      <w:r>
        <w:rPr/>
        <w:t>Renee Guild asked the group to draft letters of recommendation for Brownell and Wood’s nominations to FERC.  Committee chairs discussed the manner in which the recommendation should be carried forth.  We must first get confirmation from Carl Guardino as to the process this must go through and whether we can do a collective endorsement vs. an individual one.  Renee will draft a support letter to be circulated to member companies pending Carl’s confirmation.</w:t>
      </w:r>
    </w:p>
    <w:p>
      <w:pPr>
        <w:pStyle w:val="Normal"/>
        <w:rPr>
          <w:b/>
          <w:bCs/>
        </w:rPr>
      </w:pPr>
      <w:r>
        <w:rPr>
          <w:b/>
          <w:bCs/>
        </w:rPr>
      </w:r>
    </w:p>
    <w:p>
      <w:pPr>
        <w:pStyle w:val="Normal"/>
        <w:rPr>
          <w:b/>
          <w:bCs/>
        </w:rPr>
      </w:pPr>
      <w:r>
        <w:rPr>
          <w:b/>
          <w:bCs/>
        </w:rPr>
        <w:t>Coalition Letter Update:</w:t>
      </w:r>
    </w:p>
    <w:p>
      <w:pPr>
        <w:pStyle w:val="Normal"/>
        <w:pBdr>
          <w:bottom w:val="single" w:sz="12" w:space="1" w:color="000000"/>
        </w:pBdr>
        <w:rPr/>
      </w:pPr>
      <w:r>
        <w:rPr/>
        <w:t>The coalition letter was passed at Working Council and will be brought to the Board on April 16.</w:t>
      </w:r>
    </w:p>
    <w:p>
      <w:pPr>
        <w:pStyle w:val="Normal"/>
        <w:rPr/>
      </w:pPr>
      <w:r>
        <w:rPr/>
      </w:r>
    </w:p>
    <w:p>
      <w:pPr>
        <w:pStyle w:val="Normal"/>
        <w:pBdr>
          <w:bottom w:val="single" w:sz="12" w:space="1" w:color="000000"/>
        </w:pBdr>
        <w:rPr>
          <w:b/>
          <w:bCs/>
        </w:rPr>
      </w:pPr>
      <w:r>
        <w:rPr>
          <w:b/>
          <w:bCs/>
        </w:rPr>
        <w:t>Action Items:</w:t>
      </w:r>
    </w:p>
    <w:p>
      <w:pPr>
        <w:pStyle w:val="Normal"/>
        <w:pBdr>
          <w:bottom w:val="single" w:sz="12" w:space="1" w:color="000000"/>
        </w:pBdr>
        <w:rPr/>
      </w:pPr>
      <w:r>
        <w:rPr/>
        <w:t>1.  Bring $250/Mw stipulation to the Legislative Subcommittee for discussion</w:t>
      </w:r>
    </w:p>
    <w:p>
      <w:pPr>
        <w:pStyle w:val="Normal"/>
        <w:pBdr>
          <w:bottom w:val="single" w:sz="12" w:space="1" w:color="000000"/>
        </w:pBdr>
        <w:rPr/>
      </w:pPr>
      <w:r>
        <w:rPr/>
        <w:t>2.  Distribute Peter Evans’ paper on real time pricing to the committee.</w:t>
      </w:r>
    </w:p>
    <w:p>
      <w:pPr>
        <w:pStyle w:val="Normal"/>
        <w:pBdr>
          <w:bottom w:val="single" w:sz="12" w:space="1" w:color="000000"/>
        </w:pBdr>
        <w:rPr/>
      </w:pPr>
      <w:r>
        <w:rPr/>
        <w:t>3.  Verify process for FERC nominee support with Carl Guardino.</w:t>
      </w:r>
    </w:p>
    <w:p>
      <w:pPr>
        <w:pStyle w:val="Normal"/>
        <w:pBdr>
          <w:bottom w:val="single" w:sz="12" w:space="1" w:color="000000"/>
        </w:pBdr>
        <w:rPr/>
      </w:pPr>
      <w:r>
        <w:rPr/>
        <w:t>4.  Distribute Terry Surles contact information to the committee.</w:t>
      </w:r>
    </w:p>
    <w:p>
      <w:pPr>
        <w:pStyle w:val="Normal"/>
        <w:pBdr>
          <w:bottom w:val="single" w:sz="12" w:space="1" w:color="000000"/>
        </w:pBdr>
        <w:rPr/>
      </w:pPr>
      <w:r>
        <w:rPr/>
        <w:t>5.  Invite Barbara Barkovich to next committee meeting.</w:t>
      </w:r>
    </w:p>
    <w:p>
      <w:pPr>
        <w:pStyle w:val="Normal"/>
        <w:pBdr>
          <w:bottom w:val="single" w:sz="12" w:space="1" w:color="000000"/>
        </w:pBdr>
        <w:rPr/>
      </w:pPr>
      <w:r>
        <w:rPr/>
        <w:t>6.  Distribute BAAQMD rules to committee.</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t>Meeting adjourned at 5:30pm.</w:t>
      </w:r>
    </w:p>
    <w:sectPr>
      <w:type w:val="nextPage"/>
      <w:pgSz w:w="12240" w:h="15840"/>
      <w:pgMar w:left="1800" w:right="162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pBdr>
        <w:top w:val="single" w:sz="12" w:space="1" w:color="000000"/>
        <w:bottom w:val="single" w:sz="12" w:space="1" w:color="000000"/>
      </w:pBd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2001-04-16T17:39:00Z</dcterms:created>
  <dc:creator>Administrator</dc:creator>
  <dc:description/>
  <dc:language>en-CA</dc:language>
  <cp:lastModifiedBy>Administrator</cp:lastModifiedBy>
  <dcterms:modified xsi:type="dcterms:W3CDTF">2001-04-16T17:39:00Z</dcterms:modified>
  <cp:revision>2</cp:revision>
  <dc:subject/>
  <dc:title>Energy Committee Meeting</dc:title>
</cp:coreProperties>
</file>