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Energy Committee Meeting Minutes</w:t>
      </w:r>
    </w:p>
    <w:p>
      <w:pPr>
        <w:pStyle w:val="Normal"/>
        <w:jc w:val="center"/>
        <w:rPr>
          <w:b/>
          <w:bCs/>
        </w:rPr>
      </w:pPr>
      <w:r>
        <w:rPr>
          <w:b/>
          <w:bCs/>
        </w:rPr>
        <w:t>Monday, April 23, 2001</w:t>
      </w:r>
    </w:p>
    <w:p>
      <w:pPr>
        <w:pStyle w:val="Normal"/>
        <w:jc w:val="center"/>
        <w:rPr>
          <w:b/>
          <w:bCs/>
        </w:rPr>
      </w:pPr>
      <w:r>
        <w:rPr>
          <w:b/>
          <w:bCs/>
        </w:rPr>
        <w:t>EPRI</w:t>
      </w:r>
    </w:p>
    <w:p>
      <w:pPr>
        <w:pStyle w:val="Normal"/>
        <w:jc w:val="center"/>
        <w:rPr>
          <w:b/>
          <w:bCs/>
        </w:rPr>
      </w:pPr>
      <w:r>
        <w:rPr>
          <w:b/>
          <w:bCs/>
        </w:rPr>
        <w:t>3:00 to 5:00pm</w:t>
      </w:r>
    </w:p>
    <w:p>
      <w:pPr>
        <w:pStyle w:val="Normal"/>
        <w:jc w:val="center"/>
        <w:rPr>
          <w:b/>
          <w:bCs/>
        </w:rPr>
      </w:pPr>
      <w:r>
        <w:rPr>
          <w:b/>
          <w:bCs/>
        </w:rPr>
      </w:r>
    </w:p>
    <w:p>
      <w:pPr>
        <w:pStyle w:val="Normal"/>
        <w:jc w:val="center"/>
        <w:rPr>
          <w:b/>
          <w:bCs/>
        </w:rPr>
      </w:pPr>
      <w:r>
        <w:rPr>
          <w:b/>
          <w:bCs/>
        </w:rPr>
      </w:r>
    </w:p>
    <w:p>
      <w:pPr>
        <w:pStyle w:val="Normal"/>
        <w:rPr>
          <w:b/>
          <w:bCs/>
        </w:rPr>
      </w:pPr>
      <w:r>
        <w:rPr>
          <w:b/>
          <w:bCs/>
        </w:rPr>
        <w:t>Participants:</w:t>
      </w:r>
    </w:p>
    <w:p>
      <w:pPr>
        <w:pStyle w:val="Normal"/>
        <w:rPr/>
      </w:pPr>
      <w:r>
        <w:rPr/>
        <w:t>Ted Cunningham, SJSU</w:t>
        <w:tab/>
        <w:tab/>
        <w:t>Anne Davidson, Solectron</w:t>
        <w:tab/>
        <w:tab/>
        <w:t>Joe Desmond, Infotility</w:t>
      </w:r>
    </w:p>
    <w:p>
      <w:pPr>
        <w:pStyle w:val="Normal"/>
        <w:rPr/>
      </w:pPr>
      <w:r>
        <w:rPr/>
        <w:t>Keith Dias, Compaq</w:t>
        <w:tab/>
        <w:tab/>
        <w:t>Peter Evans</w:t>
        <w:tab/>
        <w:tab/>
        <w:tab/>
        <w:t>Tony Fisher, New United Motor Mfg</w:t>
      </w:r>
    </w:p>
    <w:p>
      <w:pPr>
        <w:pStyle w:val="Normal"/>
        <w:rPr/>
      </w:pPr>
      <w:r>
        <w:rPr/>
        <w:t>Renee Guild</w:t>
        <w:tab/>
        <w:tab/>
        <w:tab/>
        <w:t>Don Hall, PGE</w:t>
        <w:tab/>
        <w:tab/>
        <w:tab/>
        <w:t>Clifton Pennington, United Defense</w:t>
      </w:r>
    </w:p>
    <w:p>
      <w:pPr>
        <w:pStyle w:val="Normal"/>
        <w:rPr/>
      </w:pPr>
      <w:r>
        <w:rPr/>
        <w:t>Ann Hatcher</w:t>
        <w:tab/>
        <w:tab/>
        <w:tab/>
        <w:t>Harry Hobbs, Sun</w:t>
        <w:tab/>
        <w:tab/>
        <w:t>Dan Hoffman, Network Appliances</w:t>
      </w:r>
    </w:p>
    <w:p>
      <w:pPr>
        <w:pStyle w:val="Normal"/>
        <w:rPr/>
      </w:pPr>
      <w:r>
        <w:rPr/>
        <w:t>Lori Johnson, Cargill Salt</w:t>
        <w:tab/>
        <w:tab/>
        <w:t>Ed Jones, Compaq</w:t>
        <w:tab/>
        <w:tab/>
        <w:t>Mukesh Khattar, Oracle</w:t>
      </w:r>
    </w:p>
    <w:p>
      <w:pPr>
        <w:pStyle w:val="Normal"/>
        <w:rPr/>
      </w:pPr>
      <w:r>
        <w:rPr/>
        <w:t>KC Mares, Exodus</w:t>
        <w:tab/>
        <w:tab/>
        <w:t>John Martin, AMD</w:t>
        <w:tab/>
        <w:tab/>
        <w:t>Brice McQueen, City of Sunnyvale</w:t>
      </w:r>
    </w:p>
    <w:p>
      <w:pPr>
        <w:pStyle w:val="Normal"/>
        <w:rPr/>
      </w:pPr>
      <w:r>
        <w:rPr/>
        <w:t>Jerry Meek, Roche</w:t>
        <w:tab/>
        <w:tab/>
        <w:t>Vito Longo</w:t>
        <w:tab/>
        <w:tab/>
        <w:tab/>
        <w:t>Steve Motzko, Solectron</w:t>
      </w:r>
    </w:p>
    <w:p>
      <w:pPr>
        <w:pStyle w:val="Normal"/>
        <w:rPr/>
      </w:pPr>
      <w:r>
        <w:rPr/>
        <w:t>John Redding, GE</w:t>
        <w:tab/>
        <w:tab/>
        <w:t>Manmohan Sehgal, Agilent</w:t>
        <w:tab/>
        <w:t>Nayeem Sheikh, Cisco</w:t>
      </w:r>
    </w:p>
    <w:p>
      <w:pPr>
        <w:pStyle w:val="Normal"/>
        <w:rPr/>
      </w:pPr>
      <w:r>
        <w:rPr/>
        <w:t>Paul Stephens, HP</w:t>
        <w:tab/>
        <w:tab/>
        <w:t>Sven Thesen, SKC America</w:t>
        <w:tab/>
        <w:t>Dimitry Holl, HP</w:t>
      </w:r>
    </w:p>
    <w:p>
      <w:pPr>
        <w:pStyle w:val="Normal"/>
        <w:tabs>
          <w:tab w:val="left" w:pos="720" w:leader="none"/>
          <w:tab w:val="left" w:pos="1440" w:leader="none"/>
          <w:tab w:val="left" w:pos="2160" w:leader="none"/>
          <w:tab w:val="left" w:pos="2880" w:leader="none"/>
          <w:tab w:val="left" w:pos="3600" w:leader="none"/>
          <w:tab w:val="left" w:pos="4320" w:leader="none"/>
          <w:tab w:val="left" w:pos="5811" w:leader="none"/>
        </w:tabs>
        <w:rPr/>
      </w:pPr>
      <w:r>
        <w:rPr/>
        <w:t>Anais Nguyen, IBM</w:t>
        <w:tab/>
        <w:tab/>
        <w:t>Sarah Mosso, IBM</w:t>
        <w:tab/>
        <w:t>Nathan Spears, New United Motor Mfg</w:t>
      </w:r>
    </w:p>
    <w:p>
      <w:pPr>
        <w:pStyle w:val="Normal"/>
        <w:rPr/>
      </w:pPr>
      <w:r>
        <w:rPr/>
        <w:t>Teri Peterson, Cargill Salt</w:t>
        <w:tab/>
        <w:tab/>
        <w:t>Mark Lacy, AMD</w:t>
        <w:tab/>
        <w:tab/>
        <w:t>Diane VanSchoten, AMD</w:t>
      </w:r>
    </w:p>
    <w:p>
      <w:pPr>
        <w:pStyle w:val="Normal"/>
        <w:tabs>
          <w:tab w:val="left" w:pos="720" w:leader="none"/>
          <w:tab w:val="left" w:pos="1440" w:leader="none"/>
          <w:tab w:val="left" w:pos="2160" w:leader="none"/>
          <w:tab w:val="left" w:pos="2880" w:leader="none"/>
          <w:tab w:val="left" w:pos="3600" w:leader="none"/>
          <w:tab w:val="left" w:pos="4320" w:leader="none"/>
          <w:tab w:val="left" w:pos="5794" w:leader="none"/>
        </w:tabs>
        <w:rPr/>
      </w:pPr>
      <w:r>
        <w:rPr/>
        <w:t>Jennifer Shepherd, Solectron</w:t>
        <w:tab/>
        <w:t>Gofal Shelty, Agilent</w:t>
        <w:tab/>
        <w:t>John Semerav, Coyote Consulting</w:t>
      </w:r>
    </w:p>
    <w:p>
      <w:pPr>
        <w:pStyle w:val="Normal"/>
        <w:rPr/>
      </w:pPr>
      <w:r>
        <w:rPr/>
        <w:t>Todd Geringer, LSI Logic</w:t>
        <w:tab/>
        <w:tab/>
        <w:t>Michael Miller, EPRI</w:t>
        <w:tab/>
        <w:tab/>
        <w:t>Bernie Ziemianek, EPRI</w:t>
      </w:r>
    </w:p>
    <w:p>
      <w:pPr>
        <w:pStyle w:val="Normal"/>
        <w:pBdr>
          <w:bottom w:val="single" w:sz="12" w:space="1" w:color="000000"/>
        </w:pBdr>
        <w:rPr/>
      </w:pPr>
      <w:r>
        <w:rPr/>
        <w:t>Stephen Gomez, Roche</w:t>
        <w:tab/>
        <w:tab/>
        <w:t>Scott Nixon, Agilent</w:t>
        <w:tab/>
        <w:tab/>
        <w:t>Justin Bradley, SVMG</w:t>
        <w:tab/>
      </w:r>
    </w:p>
    <w:p>
      <w:pPr>
        <w:pStyle w:val="Normal"/>
        <w:rPr/>
      </w:pPr>
      <w:r>
        <w:rPr/>
        <w:tab/>
      </w:r>
    </w:p>
    <w:p>
      <w:pPr>
        <w:pStyle w:val="Normal"/>
        <w:rPr>
          <w:b/>
          <w:bCs/>
        </w:rPr>
      </w:pPr>
      <w:r>
        <w:rPr>
          <w:b/>
          <w:bCs/>
        </w:rPr>
        <w:t>Subcommittee Reports:</w:t>
      </w:r>
    </w:p>
    <w:p>
      <w:pPr>
        <w:pStyle w:val="Normal"/>
        <w:rPr/>
      </w:pPr>
      <w:r>
        <w:rPr>
          <w:u w:val="single"/>
        </w:rPr>
        <w:t>Business Continuity</w:t>
      </w:r>
      <w:r>
        <w:rPr/>
        <w:t xml:space="preserve"> – PG&amp;E resubmitted the tariff application that included the OBMC program earlier this week, there were no substantial changes in the filing.  SVMG also resubmitted the protest letter.  Blackout Busters Subcommittee will be meeting Wednesday, April 25 at Cisco to plan for the drill scheduled for April 27 from 1 to 5pm.  PG&amp;E is working with this group and will hopefully declare Friday as an event day for those companies that participate in the OBMC program.</w:t>
      </w:r>
    </w:p>
    <w:p>
      <w:pPr>
        <w:pStyle w:val="Normal"/>
        <w:rPr/>
      </w:pPr>
      <w:r>
        <w:rPr/>
      </w:r>
    </w:p>
    <w:p>
      <w:pPr>
        <w:pStyle w:val="Normal"/>
        <w:rPr/>
      </w:pPr>
      <w:r>
        <w:rPr>
          <w:u w:val="single"/>
        </w:rPr>
        <w:t>Electric Infrastructure</w:t>
      </w:r>
      <w:r>
        <w:rPr/>
        <w:t xml:space="preserve"> – At the next committee meeting the Russell City Energy Center and the Gilroy Peaker Plants projects will be presented to the group.  This is in direct response to the requests of the Board to see more projects for the Silicon Valley.</w:t>
      </w:r>
    </w:p>
    <w:p>
      <w:pPr>
        <w:pStyle w:val="Normal"/>
        <w:rPr/>
      </w:pPr>
      <w:r>
        <w:rPr/>
      </w:r>
    </w:p>
    <w:p>
      <w:pPr>
        <w:pStyle w:val="Normal"/>
        <w:pBdr>
          <w:bottom w:val="single" w:sz="12" w:space="1" w:color="000000"/>
        </w:pBdr>
        <w:rPr/>
      </w:pPr>
      <w:r>
        <w:rPr>
          <w:u w:val="single"/>
        </w:rPr>
        <w:t>Legislative Subcommittee</w:t>
      </w:r>
      <w:r>
        <w:rPr/>
        <w:t xml:space="preserve"> – No report made out of an interest of time.</w:t>
      </w:r>
    </w:p>
    <w:p>
      <w:pPr>
        <w:pStyle w:val="Normal"/>
        <w:rPr/>
      </w:pPr>
      <w:r>
        <w:rPr/>
      </w:r>
    </w:p>
    <w:p>
      <w:pPr>
        <w:pStyle w:val="Normal"/>
        <w:rPr>
          <w:b/>
          <w:bCs/>
        </w:rPr>
      </w:pPr>
      <w:r>
        <w:rPr>
          <w:b/>
          <w:bCs/>
        </w:rPr>
        <w:t xml:space="preserve">Guest Speaker:  </w:t>
      </w:r>
    </w:p>
    <w:p>
      <w:pPr>
        <w:pStyle w:val="Normal"/>
        <w:pBdr>
          <w:bottom w:val="single" w:sz="12" w:space="1" w:color="000000"/>
        </w:pBdr>
        <w:rPr/>
      </w:pPr>
      <w:r>
        <w:rPr/>
        <w:t>Steve Hill from the Bay Area Air Quality Management District came to discuss the new air rules in regards to back-up generation.  Two specific changes in the bay area have resulted in heightened interest and concern of the Air District, the current energy situation and the identification of diesel as toxic.  The Air District insists that the use of back-up generation is not a solution to the energy crisis and should not be viewed or implemented as such.  The District does, however, understand the urgency and the repercussions that follow a blackout.  The Air District is currently collecting information on back-up engines – age, capacity, usage, etc. in an attempt to reduce harmful emissions.  The current proposals permit program’s goal is to collect that information and to form lines of communication with back-up engine users.  This will allow the District to know where engines exist and how they are being used.  The program will enhance compliance to Air District standards by educating users of the proper and acceptable implementation of back-up generation.  Current controls on emergency back-up systems allow for up to 100 hours of testing a year and 200 hours of use in an actual emergency situation.  The current permitting process is lengthy and difficult and restrictions and exemptions are not clear.  The proposal will make these processes more flexible and will provide clarity.  The proposal will require all engines over 50 horsepower to go through the streamlined permit process.  The information provided in the permit application will be weighed against certain criteria – specifically, intended use, location and size, and information on emissions.  Engines that will be used only under certain guidelines will be permitted 100 hours a year of testing but in emergency situations allowed unlimited use.  Engines on discretionary use, those that don’t meet the guidelines, will have to go through the more lengthy, more detailed permit process.  These engines will then be weighed against risk management criteria, which under the proposal, will be relaxed.  If the engines cancer risk is between 0 and 1 out of 1 million they will receive the same permit as those that met the original streamlined permit criteria.  If the cancer risk is between 1 and 10 out of 1 million the engine will be permitted only if upgrades are made that help reduce toxic air contaminant emissions.  If the cancer risk is between 10 and 100 out of 1 million the engine will need more involved source modifications to bring down the risk.  This process will be much longer. Restrictions do exist.  For example, if you participate in a monetary incented program your back-up engines will be excluded from the streamlined process and required to go through the discretionary use process.  Also, a declared Stage 3 does not indicate an emergency or allow emergency use of back-up engines.  A draft document outlining the details of the proposal will be released on April 30.  The Air District will be conducting workshops in San Francisco on May 11.  The changes will be adopted on August 1.  Members will have an opportunity to influence the proposal at the May 11 workshop.  This is a staff proposal and changes can only be implemented by the Board.</w:t>
      </w:r>
    </w:p>
    <w:p>
      <w:pPr>
        <w:pStyle w:val="Normal"/>
        <w:rPr>
          <w:b/>
          <w:bCs/>
        </w:rPr>
      </w:pPr>
      <w:r>
        <w:rPr>
          <w:b/>
          <w:bCs/>
        </w:rPr>
      </w:r>
    </w:p>
    <w:p>
      <w:pPr>
        <w:pStyle w:val="Normal"/>
        <w:rPr>
          <w:b/>
          <w:bCs/>
        </w:rPr>
      </w:pPr>
      <w:r>
        <w:rPr>
          <w:b/>
          <w:bCs/>
        </w:rPr>
        <w:t>Rate Allocation &amp; Real Time Pricing:</w:t>
      </w:r>
    </w:p>
    <w:p>
      <w:pPr>
        <w:pStyle w:val="Normal"/>
        <w:pBdr>
          <w:bottom w:val="single" w:sz="12" w:space="1" w:color="000000"/>
        </w:pBdr>
        <w:rPr/>
      </w:pPr>
      <w:r>
        <w:rPr/>
        <w:t>The group asked for more information on Real Time Pricing, specifically a rate schedule.  A number issues of concern remain including the definition of the baseline, if the program will be voluntary or mandatory, and if alternatives exist.  It was suggested that we run a proxy RTP program prior to committing to participate.  A task force will be formed to bring more details to the committee.  Volunteers include Barbara Barkovich, Peter Evans, KC Mares, Joe Desmond, and Anne Davidson.</w:t>
      </w:r>
    </w:p>
    <w:p>
      <w:pPr>
        <w:pStyle w:val="Normal"/>
        <w:rPr>
          <w:b/>
          <w:bCs/>
        </w:rPr>
      </w:pPr>
      <w:r>
        <w:rPr>
          <w:b/>
          <w:bCs/>
        </w:rPr>
      </w:r>
    </w:p>
    <w:p>
      <w:pPr>
        <w:pStyle w:val="Normal"/>
        <w:rPr>
          <w:b/>
          <w:bCs/>
        </w:rPr>
      </w:pPr>
      <w:r>
        <w:rPr>
          <w:b/>
          <w:bCs/>
        </w:rPr>
        <w:t>Director’s Report:</w:t>
      </w:r>
    </w:p>
    <w:p>
      <w:pPr>
        <w:pStyle w:val="Normal"/>
        <w:pBdr>
          <w:bottom w:val="single" w:sz="12" w:space="1" w:color="000000"/>
        </w:pBdr>
        <w:rPr/>
      </w:pPr>
      <w:r>
        <w:rPr/>
        <w:t>No report made out of an interest of time.</w:t>
      </w:r>
    </w:p>
    <w:p>
      <w:pPr>
        <w:pStyle w:val="Normal"/>
        <w:rPr/>
      </w:pPr>
      <w:r>
        <w:rPr/>
      </w:r>
    </w:p>
    <w:p>
      <w:pPr>
        <w:pStyle w:val="Normal"/>
        <w:rPr>
          <w:b/>
          <w:bCs/>
        </w:rPr>
      </w:pPr>
      <w:r>
        <w:rPr>
          <w:b/>
          <w:bCs/>
        </w:rPr>
        <w:t>FERC Nominations – Call with Nora Mead Brownell:</w:t>
      </w:r>
    </w:p>
    <w:p>
      <w:pPr>
        <w:pStyle w:val="Normal"/>
        <w:pBdr>
          <w:bottom w:val="single" w:sz="12" w:space="1" w:color="000000"/>
        </w:pBdr>
        <w:rPr/>
      </w:pPr>
      <w:r>
        <w:rPr/>
        <w:t>Ms. Brownell introduced herself and provided the committee with some background of her experience.  She helped with deregulation in Pennsylvania, which has been recognized as successful.  She claims to be a strong believer in true markets, respecting their fragility and uncertainty.  She believes that the approach in California needs to be flexible and that plans must be made for the transition phase to maintain reliability.  Ms. Brownell believes that FERC does have a responsibility in the current energy situation in California.  She believes that the quickest resolution to this crisis is to reestablish the wholesale market.  She is in support of the business community.  Following a discussion from the committee Johann Trisczcuk made a motion to support Ms. Brownell’s nomination.  Tony Fischer second the motion.  Renee Guild will draft a letter of support on behalf of the SVMG.</w:t>
      </w:r>
    </w:p>
    <w:p>
      <w:pPr>
        <w:pStyle w:val="Normal"/>
        <w:rPr/>
      </w:pPr>
      <w:r>
        <w:rPr/>
      </w:r>
    </w:p>
    <w:p>
      <w:pPr>
        <w:pStyle w:val="Heading1"/>
        <w:ind w:hanging="0" w:start="0"/>
        <w:rPr/>
      </w:pPr>
      <w:r>
        <w:rPr/>
        <w:t>Meeting adjourned at 6:10pm</w:t>
      </w:r>
    </w:p>
    <w:p>
      <w:pPr>
        <w:pStyle w:val="Normal"/>
        <w:rPr/>
      </w:pPr>
      <w:r>
        <w:rPr/>
      </w:r>
    </w:p>
    <w:p>
      <w:pPr>
        <w:pStyle w:val="Normal"/>
        <w:rPr/>
      </w:pPr>
      <w:r>
        <w:rPr/>
      </w:r>
    </w:p>
    <w:sectPr>
      <w:type w:val="nextPage"/>
      <w:pgSz w:w="12240" w:h="15840"/>
      <w:pgMar w:left="1627" w:right="1620" w:gutter="0" w:header="0" w:top="1440"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2001-04-30T14:24:00Z</dcterms:created>
  <dc:creator>Administrator</dc:creator>
  <dc:description/>
  <dc:language>en-CA</dc:language>
  <cp:lastModifiedBy>Administrator</cp:lastModifiedBy>
  <dcterms:modified xsi:type="dcterms:W3CDTF">2001-04-30T14:24:00Z</dcterms:modified>
  <cp:revision>2</cp:revision>
  <dc:subject/>
  <dc:title>Energy Committee Meeting Minutes</dc:title>
</cp:coreProperties>
</file>