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w:t>
      </w:r>
    </w:p>
    <w:p>
      <w:pPr>
        <w:pStyle w:val="Normal"/>
        <w:jc w:val="center"/>
        <w:rPr>
          <w:b/>
          <w:bCs/>
        </w:rPr>
      </w:pPr>
      <w:r>
        <w:rPr>
          <w:b/>
          <w:bCs/>
        </w:rPr>
        <w:t>EPRI</w:t>
      </w:r>
    </w:p>
    <w:p>
      <w:pPr>
        <w:pStyle w:val="Normal"/>
        <w:jc w:val="center"/>
        <w:rPr>
          <w:b/>
          <w:bCs/>
        </w:rPr>
      </w:pPr>
      <w:r>
        <w:rPr>
          <w:b/>
          <w:bCs/>
        </w:rPr>
        <w:t>April 2, 2001</w:t>
      </w:r>
    </w:p>
    <w:p>
      <w:pPr>
        <w:pStyle w:val="Normal"/>
        <w:pBdr>
          <w:bottom w:val="single" w:sz="12" w:space="1" w:color="000000"/>
        </w:pBdr>
        <w:jc w:val="center"/>
        <w:rPr>
          <w:b/>
          <w:bCs/>
        </w:rPr>
      </w:pPr>
      <w:r>
        <w:rPr>
          <w:b/>
          <w:bCs/>
        </w:rPr>
        <w:t>3 to 5pm</w:t>
      </w:r>
    </w:p>
    <w:p>
      <w:pPr>
        <w:pStyle w:val="Normal"/>
        <w:rPr>
          <w:b/>
          <w:bCs/>
        </w:rPr>
      </w:pPr>
      <w:r>
        <w:rPr>
          <w:b/>
          <w:bCs/>
        </w:rPr>
      </w:r>
    </w:p>
    <w:p>
      <w:pPr>
        <w:pStyle w:val="Normal"/>
        <w:rPr>
          <w:b/>
          <w:bCs/>
        </w:rPr>
      </w:pPr>
      <w:r>
        <w:rPr>
          <w:b/>
          <w:bCs/>
        </w:rPr>
        <w:t>Members present:</w:t>
      </w:r>
    </w:p>
    <w:p>
      <w:pPr>
        <w:pStyle w:val="Normal"/>
        <w:rPr/>
      </w:pPr>
      <w:r>
        <w:rPr/>
        <w:t>Jeff Byron</w:t>
        <w:tab/>
        <w:tab/>
        <w:t>Cari Porter, Samceda</w:t>
        <w:tab/>
        <w:tab/>
        <w:t>Phillip Broughton, Spectra Physics</w:t>
        <w:tab/>
      </w:r>
    </w:p>
    <w:p>
      <w:pPr>
        <w:pStyle w:val="Normal"/>
        <w:rPr/>
      </w:pPr>
      <w:r>
        <w:rPr/>
        <w:t>Joe Cussen, Catalytica</w:t>
        <w:tab/>
        <w:t>Joe Desmond, Infotility</w:t>
        <w:tab/>
        <w:tab/>
        <w:t>Keith Dias, Compaq</w:t>
      </w:r>
    </w:p>
    <w:p>
      <w:pPr>
        <w:pStyle w:val="Normal"/>
        <w:rPr/>
      </w:pPr>
      <w:r>
        <w:rPr/>
        <w:t>Peter Evans</w:t>
        <w:tab/>
        <w:tab/>
        <w:t>John Goss, Honeywell</w:t>
        <w:tab/>
        <w:tab/>
        <w:t>Tony Fisher, New United Motor Mfg.</w:t>
      </w:r>
    </w:p>
    <w:p>
      <w:pPr>
        <w:pStyle w:val="Normal"/>
        <w:rPr/>
      </w:pPr>
      <w:r>
        <w:rPr/>
        <w:t>Renee Guild</w:t>
        <w:tab/>
        <w:tab/>
        <w:t>Kindel Blau, Supervisor Kniss</w:t>
        <w:tab/>
        <w:t>Jim Hunter, Compaq</w:t>
      </w:r>
    </w:p>
    <w:p>
      <w:pPr>
        <w:pStyle w:val="Normal"/>
        <w:rPr/>
      </w:pPr>
      <w:r>
        <w:rPr/>
        <w:t>Vito Longo</w:t>
        <w:tab/>
        <w:tab/>
        <w:t>Don Hall, PG&amp;E</w:t>
        <w:tab/>
        <w:tab/>
        <w:tab/>
        <w:t>Harry Hobbs, Sun Microsystems</w:t>
      </w:r>
    </w:p>
    <w:p>
      <w:pPr>
        <w:pStyle w:val="Normal"/>
        <w:rPr/>
      </w:pPr>
      <w:r>
        <w:rPr/>
        <w:t>Ann Hatcher</w:t>
        <w:tab/>
        <w:tab/>
        <w:t>Lori Johnson, Cargill Salt</w:t>
        <w:tab/>
        <w:tab/>
        <w:t>Mukesh Khattar, Oracle</w:t>
      </w:r>
    </w:p>
    <w:p>
      <w:pPr>
        <w:pStyle w:val="Normal"/>
        <w:rPr/>
      </w:pPr>
      <w:r>
        <w:rPr/>
        <w:t>John Martin, AMD</w:t>
        <w:tab/>
        <w:t>Peter Lowe, Analog Devices</w:t>
        <w:tab/>
        <w:t>Peter Klock, Johnson Controls</w:t>
      </w:r>
    </w:p>
    <w:p>
      <w:pPr>
        <w:pStyle w:val="Normal"/>
        <w:rPr/>
      </w:pPr>
      <w:r>
        <w:rPr/>
        <w:t>Jerry Meek, Roche</w:t>
        <w:tab/>
        <w:t>Stephen Motzko, Solectron</w:t>
        <w:tab/>
        <w:t>Brice McQueen, City of Sunnyvale</w:t>
      </w:r>
    </w:p>
    <w:p>
      <w:pPr>
        <w:pStyle w:val="Normal"/>
        <w:rPr/>
      </w:pPr>
      <w:r>
        <w:rPr/>
        <w:t>Paul Radcliffe, EPRI</w:t>
        <w:tab/>
        <w:t>John Redding, GE</w:t>
        <w:tab/>
        <w:tab/>
        <w:t>Rita Norton, City of San Jose</w:t>
      </w:r>
    </w:p>
    <w:p>
      <w:pPr>
        <w:pStyle w:val="Normal"/>
        <w:rPr/>
      </w:pPr>
      <w:r>
        <w:rPr/>
        <w:t>KC Mares, Exodus</w:t>
        <w:tab/>
        <w:t>Manmohan Sehgal, Agilent</w:t>
        <w:tab/>
        <w:t>Bill Smith, EPRI</w:t>
      </w:r>
    </w:p>
    <w:p>
      <w:pPr>
        <w:pStyle w:val="Normal"/>
        <w:pBdr>
          <w:bottom w:val="single" w:sz="12" w:space="1" w:color="000000"/>
        </w:pBdr>
        <w:rPr/>
      </w:pPr>
      <w:r>
        <w:rPr/>
        <w:t>John Wilson, CEC</w:t>
        <w:tab/>
        <w:t>Justin Bradley, SVMG</w:t>
        <w:tab/>
        <w:tab/>
        <w:t>Laura Goldseth, SVMG</w:t>
      </w:r>
    </w:p>
    <w:p>
      <w:pPr>
        <w:pStyle w:val="Normal"/>
        <w:rPr/>
      </w:pPr>
      <w:r>
        <w:rPr/>
      </w:r>
    </w:p>
    <w:p>
      <w:pPr>
        <w:pStyle w:val="Normal"/>
        <w:rPr>
          <w:b/>
          <w:bCs/>
        </w:rPr>
      </w:pPr>
      <w:r>
        <w:rPr>
          <w:b/>
          <w:bCs/>
        </w:rPr>
        <w:t>Subcommittee Reports:</w:t>
      </w:r>
    </w:p>
    <w:p>
      <w:pPr>
        <w:pStyle w:val="Normal"/>
        <w:rPr/>
      </w:pPr>
      <w:r>
        <w:rPr>
          <w:u w:val="single"/>
        </w:rPr>
        <w:t>Business Continuity</w:t>
      </w:r>
      <w:r>
        <w:rPr/>
        <w:t xml:space="preserve"> – OBMC clarifications have been filed by Barbara Barkovich.  Barbara is covering many of the hearings.  We can look forward to reports from her.</w:t>
      </w:r>
    </w:p>
    <w:p>
      <w:pPr>
        <w:pStyle w:val="Normal"/>
        <w:rPr/>
      </w:pPr>
      <w:r>
        <w:rPr/>
      </w:r>
    </w:p>
    <w:p>
      <w:pPr>
        <w:pStyle w:val="Normal"/>
        <w:rPr/>
      </w:pPr>
      <w:r>
        <w:rPr>
          <w:u w:val="single"/>
        </w:rPr>
        <w:t>Electric Infrastructure</w:t>
      </w:r>
      <w:r>
        <w:rPr/>
        <w:t xml:space="preserve"> – The Los Esteros letter has gone to the PUC for approval.  The Tri-Valley transmission project will be brought to Working Council on April 5.  Although the Board would like to review more projects, many of the projects are not fully realized and not ready for evaluation by SVMG.  This group will continue to look for projects to review.  Manmohan Sehgal will keep the group informed of meetings being held in Fremont to discuss possible power plant locations.</w:t>
      </w:r>
    </w:p>
    <w:p>
      <w:pPr>
        <w:pStyle w:val="Normal"/>
        <w:rPr/>
      </w:pPr>
      <w:r>
        <w:rPr/>
      </w:r>
    </w:p>
    <w:p>
      <w:pPr>
        <w:pStyle w:val="Normal"/>
        <w:rPr/>
      </w:pPr>
      <w:r>
        <w:rPr>
          <w:u w:val="single"/>
        </w:rPr>
        <w:t>Tools Conference</w:t>
      </w:r>
      <w:r>
        <w:rPr/>
        <w:t xml:space="preserve"> – The agenda has been updated indicating time allocations to each panel.  The final copies of the agenda and sponsorship form have been distributed.  A request has gone out to presenters and sponsors to provide to the committee their bios and sponsor/product materials.  Final logistics are being worked out.</w:t>
      </w:r>
    </w:p>
    <w:p>
      <w:pPr>
        <w:pStyle w:val="Normal"/>
        <w:rPr/>
      </w:pPr>
      <w:r>
        <w:rPr/>
      </w:r>
    </w:p>
    <w:p>
      <w:pPr>
        <w:pStyle w:val="Normal"/>
        <w:pBdr>
          <w:bottom w:val="single" w:sz="12" w:space="1" w:color="000000"/>
        </w:pBdr>
        <w:rPr/>
      </w:pPr>
      <w:r>
        <w:rPr>
          <w:u w:val="single"/>
        </w:rPr>
        <w:t>Legislative Subcommittee</w:t>
      </w:r>
      <w:r>
        <w:rPr/>
        <w:t xml:space="preserve"> – This group has been preoccupied with the proposed rate increase.  They are particularly concerned with the allocation of the increase and fear that it will be disproportional, leaving business’ to carry the burden.  Many member companies are unable to shift their work load giving them no options under this system.  This group has made contact with a number of legislators.  Rebecca Cohn has enthusiastically offered her support.</w:t>
      </w:r>
    </w:p>
    <w:p>
      <w:pPr>
        <w:pStyle w:val="Normal"/>
        <w:rPr/>
      </w:pPr>
      <w:r>
        <w:rPr/>
      </w:r>
    </w:p>
    <w:p>
      <w:pPr>
        <w:pStyle w:val="Heading1"/>
        <w:ind w:hanging="0" w:start="0"/>
        <w:rPr/>
      </w:pPr>
      <w:r>
        <w:rPr/>
        <w:t>Guest Presentation:  Murray Leibman</w:t>
      </w:r>
    </w:p>
    <w:p>
      <w:pPr>
        <w:pStyle w:val="Normal"/>
        <w:rPr/>
      </w:pPr>
      <w:r>
        <w:rPr/>
        <w:t>Murray is a political consultant out of DC.  He discussed federal funding opportunities/partnerships with the Department of Energy, the EPA, and also within the Bush administration.  Solicitation for these funds will begin in early May along with the pre-application process.  The scope of funding is open ended allowing SVMG to solicit on behalf of the Silicon Valley indicating where funds need to go most urgently.  Federal resources will then be available by October 1</w:t>
      </w:r>
      <w:r>
        <w:rPr>
          <w:vertAlign w:val="superscript"/>
        </w:rPr>
        <w:t>st</w:t>
      </w:r>
      <w:r>
        <w:rPr/>
        <w:t>, which indicates the beginning of the fiscal year.  The funding can cover a broad scope of projects and the typical period between solicitation and distribution of funds is 4 to 6 months.  Federal law does, however, require a percentage match – for basic research, 20% and for project implementation, up to 50%.  This does not require a dollar for dollar match rather an in kind contribution.  Murray’s contact information will be distributed to the group and can be obtained through SVMG.</w:t>
      </w:r>
    </w:p>
    <w:p>
      <w:pPr>
        <w:pStyle w:val="Normal"/>
        <w:rPr/>
      </w:pPr>
      <w:r>
        <w:rPr/>
      </w:r>
    </w:p>
    <w:p>
      <w:pPr>
        <w:pStyle w:val="Heading1"/>
        <w:ind w:hanging="0" w:start="0"/>
        <w:rPr/>
      </w:pPr>
      <w:r>
        <w:rPr/>
        <w:t>Severin Bornstein</w:t>
      </w:r>
    </w:p>
    <w:p>
      <w:pPr>
        <w:pStyle w:val="Normal"/>
        <w:pBdr>
          <w:bottom w:val="single" w:sz="12" w:space="1" w:color="000000"/>
        </w:pBdr>
        <w:rPr/>
      </w:pPr>
      <w:r>
        <w:rPr/>
        <w:t xml:space="preserve">Severin is a professor at UC Berkeley and an avid supporter of Real Time Pricing.  Severin warns that price caps will not likely be implemented this summer and that contracts won’t be signed, therefore, prices this summer will be very high.  With the current system we will have no options but to pay the extremely high prices suppliers will be selling at.  He also argues that time of us metering does not reflect peak differences, is not demand responsive, provides no feedback and little to no conservation incentives.  He proposes that Real Time Pricing is the only feasible and likely alternative.  The proposal suggests that all businesses over 200Kw be put on real time meters.  The new meters will cost $10 million and will cover everyone in the state over 200Kw.  The system proposes that a baseline be derived from last years usage and that companies buy at the regulated price.  If they go above the baseline, they would have to pay the spot market price but if they use below the baseline they will be paid the spot price for the amount conserved.  Severin warns against the groups concern with allocation stating that residential customers are bound to get a better deal under any system but that this system offers the most incentives to conserve and the most reasonable alternatives for those who can’t.  Details continue to be worked on including how to account for younger companies and for growth in determining the baseline, how to maintain proportionality, and implementation strategies.  The program will be totally voluntary but the alternative will be to go on an interruptible rate.  Businesses will still have the choice to self-generate.  An equivalent program will be proposed for residential customers with the use of rebates.  It probably will not be implemented by summer due to the time it takes to install the meters.  The group has major concerns with this proposal.  Many suggest that residences be rolled-out rather than businesses.  This is difficult to do because power is turned off by a substation so anyone who is within the range of the particular substation will be shut off.  Others are concerned that this program continues to hit the business class unfairly and too hard leaving them with very few alternatives and ultimately to relocate.  Questions arose about the scale-ability of the baseline and price elasticity.  It was suggested that direct access and forward contracting be a stipulation, which would make the proposal much more attractive to the business community.  He implores us to review the proposal and support it.  </w:t>
      </w:r>
    </w:p>
    <w:p>
      <w:pPr>
        <w:pStyle w:val="Normal"/>
        <w:rPr/>
      </w:pPr>
      <w:r>
        <w:rPr/>
      </w:r>
    </w:p>
    <w:p>
      <w:pPr>
        <w:pStyle w:val="Normal"/>
        <w:rPr>
          <w:b/>
          <w:bCs/>
        </w:rPr>
      </w:pPr>
      <w:r>
        <w:rPr>
          <w:b/>
          <w:bCs/>
        </w:rPr>
        <w:t>FERC Nominations:</w:t>
      </w:r>
    </w:p>
    <w:p>
      <w:pPr>
        <w:pStyle w:val="Normal"/>
        <w:pBdr>
          <w:bottom w:val="single" w:sz="12" w:space="1" w:color="000000"/>
        </w:pBdr>
        <w:rPr/>
      </w:pPr>
      <w:r>
        <w:rPr/>
        <w:t>Renee Giuld asked the committee to review and support Nora Mead Brownell and Pat Wood’s nominations to FERC.  The group agreed to review their resumes.  This item will be agendized for the next committee meeting.</w:t>
      </w:r>
    </w:p>
    <w:p>
      <w:pPr>
        <w:pStyle w:val="Normal"/>
        <w:rPr/>
      </w:pPr>
      <w:r>
        <w:rPr/>
      </w:r>
    </w:p>
    <w:p>
      <w:pPr>
        <w:pStyle w:val="Normal"/>
        <w:rPr>
          <w:b/>
          <w:bCs/>
        </w:rPr>
      </w:pPr>
      <w:r>
        <w:rPr>
          <w:b/>
          <w:bCs/>
        </w:rPr>
        <w:t>Action Items:</w:t>
      </w:r>
    </w:p>
    <w:p>
      <w:pPr>
        <w:pStyle w:val="Normal"/>
        <w:rPr>
          <w:b/>
          <w:bCs/>
        </w:rPr>
      </w:pPr>
      <w:r>
        <w:rPr>
          <w:b/>
          <w:bCs/>
        </w:rPr>
      </w:r>
    </w:p>
    <w:p>
      <w:pPr>
        <w:pStyle w:val="Normal"/>
        <w:rPr/>
      </w:pPr>
      <w:r>
        <w:rPr/>
        <w:t>1.  Forward Murray Liebman’s contact information to the committee.</w:t>
      </w:r>
    </w:p>
    <w:p>
      <w:pPr>
        <w:pStyle w:val="Normal"/>
        <w:rPr/>
      </w:pPr>
      <w:r>
        <w:rPr/>
        <w:t>2.  Forward FERC nominees resume’s to the committee for review.</w:t>
      </w:r>
    </w:p>
    <w:p>
      <w:pPr>
        <w:pStyle w:val="Normal"/>
        <w:rPr/>
      </w:pPr>
      <w:r>
        <w:rPr/>
        <w:t>3.  E-mail the most recent BAAQMD regulations to the committee.</w:t>
      </w:r>
    </w:p>
    <w:p>
      <w:pPr>
        <w:pStyle w:val="Normal"/>
        <w:rPr/>
      </w:pPr>
      <w:r>
        <w:rPr/>
        <w:t>4.  Provide the committee with information on the April 11 PUC hearing.</w:t>
      </w:r>
    </w:p>
    <w:p>
      <w:pPr>
        <w:pStyle w:val="Normal"/>
        <w:rPr/>
      </w:pPr>
      <w:r>
        <w:rPr/>
        <w:t>5.  Forward Kurt Schuppara and Kari Dohn’s contact information to the committee.</w:t>
      </w:r>
    </w:p>
    <w:p>
      <w:pPr>
        <w:pStyle w:val="Normal"/>
        <w:pBdr>
          <w:bottom w:val="single" w:sz="12" w:space="1" w:color="000000"/>
        </w:pBdr>
        <w:rPr/>
      </w:pPr>
      <w:r>
        <w:rPr/>
        <w:t>6.  E-mail the Real Time Pricing proposal to the committee for review.</w:t>
      </w:r>
    </w:p>
    <w:p>
      <w:pPr>
        <w:pStyle w:val="Normal"/>
        <w:rPr/>
      </w:pPr>
      <w:r>
        <w:rPr/>
      </w:r>
    </w:p>
    <w:p>
      <w:pPr>
        <w:pStyle w:val="Normal"/>
        <w:rPr>
          <w:b/>
          <w:bCs/>
        </w:rPr>
      </w:pPr>
      <w:r>
        <w:rPr>
          <w:b/>
          <w:bCs/>
        </w:rPr>
        <w:t>Agenda Items for Next Committee Meeting:</w:t>
      </w:r>
    </w:p>
    <w:p>
      <w:pPr>
        <w:pStyle w:val="Normal"/>
        <w:rPr>
          <w:b/>
          <w:bCs/>
        </w:rPr>
      </w:pPr>
      <w:r>
        <w:rPr>
          <w:b/>
          <w:bCs/>
        </w:rPr>
      </w:r>
    </w:p>
    <w:p>
      <w:pPr>
        <w:pStyle w:val="Normal"/>
        <w:rPr/>
      </w:pPr>
      <w:r>
        <w:rPr/>
        <w:t>Real Time Pricing discussion</w:t>
      </w:r>
    </w:p>
    <w:p>
      <w:pPr>
        <w:pStyle w:val="Normal"/>
        <w:rPr/>
      </w:pPr>
      <w:r>
        <w:rPr/>
        <w:t>Rate Increase discussion</w:t>
      </w:r>
    </w:p>
    <w:p>
      <w:pPr>
        <w:pStyle w:val="Normal"/>
        <w:pBdr>
          <w:bottom w:val="single" w:sz="12" w:space="1" w:color="000000"/>
        </w:pBdr>
        <w:rPr/>
      </w:pPr>
      <w:r>
        <w:rPr/>
        <w:t>FERC Nominations Vote</w:t>
      </w:r>
    </w:p>
    <w:p>
      <w:pPr>
        <w:pStyle w:val="Normal"/>
        <w:rPr/>
      </w:pPr>
      <w:r>
        <w:rPr/>
      </w:r>
    </w:p>
    <w:p>
      <w:pPr>
        <w:pStyle w:val="Heading1"/>
        <w:ind w:hanging="0" w:start="0"/>
        <w:rPr/>
      </w:pPr>
      <w:r>
        <w:rPr/>
        <w:t>Meeting Adjourned at 5:40</w:t>
      </w:r>
    </w:p>
    <w:p>
      <w:pPr>
        <w:pStyle w:val="Normal"/>
        <w:rPr/>
      </w:pPr>
      <w:r>
        <w:rPr/>
      </w:r>
    </w:p>
    <w:p>
      <w:pPr>
        <w:pStyle w:val="Normal"/>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2001-04-12T18:34:00Z</dcterms:created>
  <dc:creator>Administrator</dc:creator>
  <dc:description/>
  <dc:language>en-CA</dc:language>
  <cp:lastModifiedBy>Administrator</cp:lastModifiedBy>
  <dcterms:modified xsi:type="dcterms:W3CDTF">2001-04-12T18:34:00Z</dcterms:modified>
  <cp:revision>2</cp:revision>
  <dc:subject/>
  <dc:title>Energy Committee Meeting</dc:title>
</cp:coreProperties>
</file>