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1762125" cy="142875"/>
            <wp:effectExtent l="0" t="0" r="0" b="0"/>
            <wp:docPr id="1" name="wsj"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j" descr="" title="">
                      <a:hlinkClick r:id="rId3"/>
                    </pic:cNvPr>
                    <pic:cNvPicPr>
                      <a:picLocks noChangeAspect="1" noChangeArrowheads="1"/>
                    </pic:cNvPicPr>
                  </pic:nvPicPr>
                  <pic:blipFill>
                    <a:blip r:embed="rId2"/>
                    <a:srcRect l="-20" t="-252" r="-20" b="-252"/>
                    <a:stretch>
                      <a:fillRect/>
                    </a:stretch>
                  </pic:blipFill>
                  <pic:spPr bwMode="auto">
                    <a:xfrm>
                      <a:off x="0" y="0"/>
                      <a:ext cx="1762125" cy="142875"/>
                    </a:xfrm>
                    <a:prstGeom prst="rect">
                      <a:avLst/>
                    </a:prstGeom>
                    <a:noFill/>
                  </pic:spPr>
                </pic:pic>
              </a:graphicData>
            </a:graphic>
          </wp:inline>
        </w:drawing>
      </w:r>
      <w:r>
        <w:rPr/>
        <w:br/>
      </w:r>
      <w:r>
        <w:rPr>
          <w:b/>
          <w:bCs/>
        </w:rPr>
        <w:br/>
        <w:t>Energy Chief</w:t>
        <w:br/>
        <w:t>Joins California</w:t>
        <w:br/>
        <w:t>Electricity Fray</w:t>
      </w:r>
      <w:r>
        <w:rPr/>
        <w:br/>
        <w:t>By Rebecca Smith</w:t>
        <w:br/>
        <w:t xml:space="preserve">  </w:t>
        <w:br/>
        <w:t xml:space="preserve">11/22/2000 </w:t>
        <w:br/>
        <w:t xml:space="preserve">The Wall Street Journal </w:t>
        <w:br/>
        <w:t xml:space="preserve">Page A4 </w:t>
        <w:br/>
        <w:t xml:space="preserve">(Copyright (c) 2000, Dow Jones &amp; Company, Inc.) </w:t>
      </w:r>
    </w:p>
    <w:p>
      <w:pPr>
        <w:pStyle w:val="NormalWeb"/>
        <w:rPr/>
      </w:pPr>
      <w:r>
        <w:rPr/>
        <w:t xml:space="preserve">Energy Secretary Bill Richardson says fixes proposed by the Federal Energy Regulatory Commission for the troubled California electricity market stop short of what is needed to control runaway prices. </w:t>
      </w:r>
    </w:p>
    <w:p>
      <w:pPr>
        <w:pStyle w:val="NormalWeb"/>
        <w:rPr/>
      </w:pPr>
      <w:r>
        <w:rPr/>
        <w:t xml:space="preserve">In a rare intervention before the FERC, Mr. Richardson today will propose stricter bidding rules in the state's energy auction market and a broader investigation of market abuse. Offering to be a mediator, he also said he wants to end fierce bickering between federal and state officials over who is to blame for dozens of electrical emergencies this year. </w:t>
      </w:r>
    </w:p>
    <w:p>
      <w:pPr>
        <w:pStyle w:val="NormalWeb"/>
        <w:rPr/>
      </w:pPr>
      <w:r>
        <w:rPr/>
        <w:t xml:space="preserve">"What consumers want most is to see federal and state regulators working together," Mr. Richardson said. "I'm concerned that while there's all this finger-pointing, California rates still are excessive, and the grid is in more and more danger" of breakdowns. </w:t>
      </w:r>
    </w:p>
    <w:p>
      <w:pPr>
        <w:pStyle w:val="NormalWeb"/>
        <w:rPr/>
      </w:pPr>
      <w:r>
        <w:rPr/>
        <w:t xml:space="preserve">Mr. Richardson's statements come in the wake of proposals made by the commission Nov. 1 to put a "soft" price cap on generators in a bid to moderate prices. Mr. Richardson said he believes all existing generators selling into California's daily auction should be required to offer power at their actual cost for the next two years, presumably until new plants come online. The price paid would be set by the last, and costliest, unit called into service to meet demand. The energy secretary proposes that the state's grid operator, the California Independent System Operator, audit generators to determine their costs. </w:t>
      </w:r>
    </w:p>
    <w:p>
      <w:pPr>
        <w:pStyle w:val="NormalWeb"/>
        <w:rPr/>
      </w:pPr>
      <w:r>
        <w:rPr/>
        <w:t xml:space="preserve">That arrangement, he said, would result in substantially lower average wholesale prices than what is likely under the FERC plan. The FERC has proposed to cap most bids at $150 per megawatt hour but permit higher bids when generators are able to demonstrate their operating costs or opportunity costs are greater. California prices are now capped at $250. </w:t>
      </w:r>
    </w:p>
    <w:p>
      <w:pPr>
        <w:pStyle w:val="NormalWeb"/>
        <w:rPr/>
      </w:pPr>
      <w:r>
        <w:rPr/>
        <w:t>In addition, the energy secretary said he thinks the FERC, which regulates wholesale U.S. energy markets, needs to investigate allegations of market abuse more aggressively, utilizing its subpoena powers.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2p.djnr.com/cgi-bin/DJInteractive?cgi=WEB_PUB_DETAILS&amp;GJANum=424621860&amp;page=st_channels/pubdetails&amp;SC=J&amp;NEWSC=J&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2000-12-04T13:53:00Z</dcterms:created>
  <dc:creator>mbuster</dc:creator>
  <dc:description/>
  <dc:language>en-CA</dc:language>
  <cp:lastModifiedBy>mbuster</cp:lastModifiedBy>
  <dcterms:modified xsi:type="dcterms:W3CDTF">2000-12-04T13:56:00Z</dcterms:modified>
  <cp:revision>1</cp:revision>
  <dc:subject/>
  <dc:title> </dc:title>
</cp:coreProperties>
</file>