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INFORMATION SERVICES AGREEMENT</w:t>
      </w:r>
    </w:p>
    <w:p>
      <w:pPr>
        <w:pStyle w:val="Normal"/>
        <w:widowControl/>
        <w:jc w:val="both"/>
        <w:rPr/>
      </w:pPr>
      <w:r>
        <w:rPr/>
      </w:r>
    </w:p>
    <w:p>
      <w:pPr>
        <w:pStyle w:val="Normal"/>
        <w:widowControl/>
        <w:jc w:val="both"/>
        <w:rPr/>
      </w:pPr>
      <w:r>
        <w:rPr/>
      </w:r>
    </w:p>
    <w:p>
      <w:pPr>
        <w:pStyle w:val="Normal"/>
        <w:widowControl/>
        <w:ind w:firstLine="720" w:end="0"/>
        <w:jc w:val="both"/>
        <w:rPr/>
      </w:pPr>
      <w:r>
        <w:rPr/>
        <w:t>This Information Services Agreement (this “</w:t>
      </w:r>
      <w:r>
        <w:rPr>
          <w:u w:val="single"/>
        </w:rPr>
        <w:t>Agreement</w:t>
      </w:r>
      <w:r>
        <w:rPr/>
        <w:t>”) is made and entered into as of the _____ day of _________, 2000 between Enron Corp., an Oregon corporation, with offices at 1400 Smith Street, Houston, Texas 77002 (“</w:t>
      </w:r>
      <w:r>
        <w:rPr>
          <w:u w:val="single"/>
        </w:rPr>
        <w:t>Enron</w:t>
      </w:r>
      <w:r>
        <w:rPr/>
        <w:t>”) and Energy Argus Incorporated, a _______ corporation with offices at 129 Washington Street, Suite 400, Hoboken, New Jersey 07030 (“</w:t>
      </w:r>
      <w:r>
        <w:rPr>
          <w:u w:val="single"/>
        </w:rPr>
        <w:t>Argus</w:t>
      </w:r>
      <w:r>
        <w:rPr/>
        <w:t>”).</w:t>
      </w:r>
    </w:p>
    <w:p>
      <w:pPr>
        <w:pStyle w:val="Normal"/>
        <w:widowControl/>
        <w:ind w:firstLine="720" w:end="0"/>
        <w:jc w:val="both"/>
        <w:rPr/>
      </w:pPr>
      <w:r>
        <w:rPr/>
      </w:r>
    </w:p>
    <w:p>
      <w:pPr>
        <w:pStyle w:val="Normal"/>
        <w:widowControl/>
        <w:ind w:firstLine="720" w:end="0"/>
        <w:jc w:val="both"/>
        <w:rPr/>
      </w:pPr>
      <w:r>
        <w:rPr/>
        <w:t>WHEREAS, Enron is the owner and operator of the Enron Website (as defined below);</w:t>
      </w:r>
    </w:p>
    <w:p>
      <w:pPr>
        <w:pStyle w:val="Normal"/>
        <w:widowControl/>
        <w:ind w:firstLine="720" w:end="0"/>
        <w:jc w:val="both"/>
        <w:rPr/>
      </w:pPr>
      <w:r>
        <w:rPr/>
      </w:r>
    </w:p>
    <w:p>
      <w:pPr>
        <w:pStyle w:val="Normal"/>
        <w:widowControl/>
        <w:ind w:firstLine="720" w:end="0"/>
        <w:jc w:val="both"/>
        <w:rPr/>
      </w:pPr>
      <w:r>
        <w:rPr/>
        <w:t>WHEREAS, Argus publishes, acquires, compiles and creates certain information and data associated with European energy pricing and with general trends in the energy industry in Europe;</w:t>
      </w:r>
    </w:p>
    <w:p>
      <w:pPr>
        <w:pStyle w:val="Normal"/>
        <w:widowControl/>
        <w:ind w:firstLine="720" w:end="0"/>
        <w:jc w:val="both"/>
        <w:rPr/>
      </w:pPr>
      <w:r>
        <w:rPr/>
      </w:r>
    </w:p>
    <w:p>
      <w:pPr>
        <w:pStyle w:val="Normal"/>
        <w:widowControl/>
        <w:ind w:firstLine="720" w:end="0"/>
        <w:jc w:val="both"/>
        <w:rPr/>
      </w:pPr>
      <w:r>
        <w:rPr/>
        <w:t>WHEREAS, Enron desires that Argus provide Enron with certain daily reports in PDF Format and HTML Format or other agreed upon format so that Enron may post such reports on the Enron Website and Argus has agreed to provide Enron with such reports; and</w:t>
      </w:r>
    </w:p>
    <w:p>
      <w:pPr>
        <w:pStyle w:val="Normal"/>
        <w:widowControl/>
        <w:ind w:firstLine="720" w:end="0"/>
        <w:jc w:val="both"/>
        <w:rPr/>
      </w:pPr>
      <w:r>
        <w:rPr/>
      </w:r>
    </w:p>
    <w:p>
      <w:pPr>
        <w:pStyle w:val="BodyText"/>
        <w:ind w:firstLine="720" w:end="0"/>
        <w:rPr/>
      </w:pPr>
      <w:r>
        <w:rPr/>
        <w:t>WHEREAS, the parties wish to enter into this Agreement subject to the terms and conditions contained herein.</w:t>
      </w:r>
    </w:p>
    <w:p>
      <w:pPr>
        <w:pStyle w:val="Normal"/>
        <w:widowControl/>
        <w:ind w:firstLine="720" w:end="0"/>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Definitions</w:t>
      </w:r>
      <w:r>
        <w:rPr/>
        <w:t>.  The following capitalized terms when used in this Agreement shall have the following meanings:</w:t>
      </w:r>
    </w:p>
    <w:p>
      <w:pPr>
        <w:pStyle w:val="Normal"/>
        <w:widowControl/>
        <w:jc w:val="both"/>
        <w:rPr/>
      </w:pPr>
      <w:r>
        <w:rPr/>
      </w:r>
    </w:p>
    <w:p>
      <w:pPr>
        <w:pStyle w:val="Normal"/>
        <w:widowControl/>
        <w:ind w:start="720" w:end="0"/>
        <w:jc w:val="both"/>
        <w:rPr/>
      </w:pPr>
      <w:r>
        <w:rPr/>
        <w:t>“</w:t>
      </w:r>
      <w:r>
        <w:rPr>
          <w:u w:val="single"/>
        </w:rPr>
        <w:t>Argus Authorized Trademarks</w:t>
      </w:r>
      <w:r>
        <w:rPr/>
        <w:t>” shall mean the Argus trademarks, trade names, copyrights, design marks and service marks which Argus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u w:val="single"/>
        </w:rPr>
      </w:pPr>
      <w:r>
        <w:rPr/>
        <w:t>“</w:t>
      </w:r>
      <w:r>
        <w:rPr>
          <w:u w:val="single"/>
        </w:rPr>
        <w:t>Attrition Rate</w:t>
      </w:r>
      <w:r>
        <w:rPr/>
        <w:t>” shall mean a ratio, the numerator of which is the number of Subscribers which terminate a subscription to the Publication and are Users during the Term (the “</w:t>
      </w:r>
      <w:r>
        <w:rPr>
          <w:u w:val="single"/>
        </w:rPr>
        <w:t>Argus Attrition Factor</w:t>
      </w:r>
      <w:r>
        <w:rPr/>
        <w:t>”) and the denominator of which is the sum of (i) the total number of Subscribers at the commencement of such quarter and (ii) the total number of new Subscribers during such quarter.</w:t>
      </w:r>
    </w:p>
    <w:p>
      <w:pPr>
        <w:pStyle w:val="Normal"/>
        <w:widowControl/>
        <w:ind w:start="720" w:end="0"/>
        <w:jc w:val="both"/>
        <w:rPr>
          <w:u w:val="single"/>
        </w:rPr>
      </w:pPr>
      <w:r>
        <w:rPr>
          <w:u w:val="single"/>
        </w:rPr>
      </w:r>
    </w:p>
    <w:p>
      <w:pPr>
        <w:pStyle w:val="Normal"/>
        <w:widowControl/>
        <w:ind w:start="720" w:end="0"/>
        <w:jc w:val="both"/>
        <w:rPr/>
      </w:pPr>
      <w:r>
        <w:rPr/>
        <w:t>“</w:t>
      </w:r>
      <w:r>
        <w:rPr>
          <w:u w:val="single"/>
        </w:rPr>
        <w:t>Business Day</w:t>
      </w:r>
      <w:r>
        <w:rPr/>
        <w:t xml:space="preserve">”  shall mean a day on which clearing banks are open for business in London. </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ind w:start="720" w:end="0"/>
        <w:jc w:val="both"/>
        <w:rPr/>
      </w:pPr>
      <w:r>
        <w:rPr/>
      </w:r>
    </w:p>
    <w:p>
      <w:pPr>
        <w:pStyle w:val="Normal"/>
        <w:widowControl/>
        <w:ind w:start="720" w:end="0"/>
        <w:jc w:val="both"/>
        <w:rPr/>
      </w:pPr>
      <w:r>
        <w:rPr/>
        <w:t xml:space="preserve"> “</w:t>
      </w:r>
      <w:r>
        <w:rPr>
          <w:u w:val="single"/>
        </w:rPr>
        <w:t>Publications</w:t>
      </w:r>
      <w:r>
        <w:rPr/>
        <w:t>” shall mean the daily publications written or produced by Argus and/or its affiliates and/or their successors and assigns, currently known as “Argus European Natural Gas” and “Argus European Electricity” or any subsequent publications produced by Argus which pertain to European electricity markets or European gas markets.</w:t>
      </w:r>
    </w:p>
    <w:p>
      <w:pPr>
        <w:pStyle w:val="Normal"/>
        <w:widowControl/>
        <w:ind w:start="720" w:end="0"/>
        <w:jc w:val="both"/>
        <w:rPr/>
      </w:pPr>
      <w:r>
        <w:rPr/>
      </w:r>
    </w:p>
    <w:p>
      <w:pPr>
        <w:pStyle w:val="Normal"/>
        <w:widowControl/>
        <w:ind w:start="720" w:end="0"/>
        <w:jc w:val="both"/>
        <w:rPr/>
      </w:pPr>
      <w:r>
        <w:rPr/>
        <w:t>“</w:t>
      </w:r>
      <w:r>
        <w:rPr>
          <w:u w:val="single"/>
        </w:rPr>
        <w:t>Reports</w:t>
      </w:r>
      <w:r>
        <w:rPr/>
        <w:t xml:space="preserve">” shall mean and include, (i) all news stories, articles, editorials, news and market commentary and analytical pieces from the Publications each day and (ii) information services, including price updates on power and fuel, price assessments, charts, weather data, power pool prices and futures.  A Report shall be produced at the end of each Business Day by Argus and such Reports shall be exactly the same content and form as the Publications produced by Argus on such Business Day for distribution to its customers. </w:t>
      </w:r>
    </w:p>
    <w:p>
      <w:pPr>
        <w:pStyle w:val="Normal"/>
        <w:widowControl/>
        <w:ind w:start="720" w:end="0"/>
        <w:jc w:val="both"/>
        <w:rPr/>
      </w:pPr>
      <w:r>
        <w:rPr/>
      </w:r>
    </w:p>
    <w:p>
      <w:pPr>
        <w:pStyle w:val="Normal"/>
        <w:widowControl/>
        <w:ind w:start="720" w:end="0"/>
        <w:jc w:val="both"/>
        <w:rPr/>
      </w:pPr>
      <w:r>
        <w:rPr/>
        <w:t>“</w:t>
      </w:r>
      <w:r>
        <w:rPr>
          <w:u w:val="single"/>
        </w:rPr>
        <w:t>Subscriber</w:t>
      </w:r>
      <w:r>
        <w:rPr/>
        <w:t>” shall mean a person, corporation, partnership, limited liability company, organization or other entity that receives a distribution of the Publications or any portion thereof from Argus or any agent, broker, affiliate or other representative of Argus.</w:t>
      </w:r>
    </w:p>
    <w:p>
      <w:pPr>
        <w:pStyle w:val="Normal"/>
        <w:widowControl/>
        <w:ind w:start="720" w:end="0"/>
        <w:jc w:val="both"/>
        <w:rPr/>
      </w:pPr>
      <w:r>
        <w:rPr/>
      </w:r>
    </w:p>
    <w:p>
      <w:pPr>
        <w:pStyle w:val="Normal"/>
        <w:widowControl/>
        <w:ind w:start="720" w:end="0"/>
        <w:jc w:val="both"/>
        <w:rPr/>
      </w:pPr>
      <w:r>
        <w:rPr/>
        <w:t>“</w:t>
      </w:r>
      <w:r>
        <w:rPr>
          <w:u w:val="single"/>
        </w:rPr>
        <w:t>User</w:t>
      </w:r>
      <w:r>
        <w:rPr/>
        <w:t xml:space="preserve">” shall mean a person, corporation, partnership, limited liability company, organization or other entity with a unique password and user name (other than Enron or any affiliate of Enron and their respective employees) who accesses the Reports on the Enron Website an average of twice or more per week over the period of any given quarter.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Term and Service</w:t>
      </w:r>
      <w:r>
        <w:rPr/>
        <w:t>.  Commencing on the third Business Day after Enron provides Argus notice of its election to commence receiving the Reports  (the “</w:t>
      </w:r>
      <w:r>
        <w:rPr>
          <w:u w:val="single"/>
        </w:rPr>
        <w:t>Commencement Date</w:t>
      </w:r>
      <w:r>
        <w:rPr/>
        <w:t>”) and continuing each day thereafter up to and including the day before the one year anniversary of the Commencement Date (the “</w:t>
      </w:r>
      <w:r>
        <w:rPr>
          <w:u w:val="single"/>
        </w:rPr>
        <w:t>Initial Term</w:t>
      </w:r>
      <w:r>
        <w:rPr/>
        <w:t>”), Argus shall provide or make available a Report to Enron  each Business Day via FTP (File Transfer Protocol) or via a website which can be accessed by Enron, prior to 11:59 P.M. Greenwich Meridian Time (GMT) of such Business Day in both PDF Format and HTML Format or any other format mutually agreed to by the parties (the “</w:t>
      </w:r>
      <w:r>
        <w:rPr>
          <w:u w:val="single"/>
        </w:rPr>
        <w:t>Service</w:t>
      </w:r>
      <w:r>
        <w:rPr/>
        <w:t>”) so that Enron may post such Reports on the Enron Website.  In the event Argus obtains the capability to provide the Reports or any portion thereof (in the format agreed to by the parties) to Enron in real time, Argus shall provide the Service to Enron in real time.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Renewal Term</w:t>
      </w:r>
      <w:r>
        <w:rPr/>
        <w:t>.  Unless Enron provides written notice to Argus on or prior to thirty (30) days before the expiration of the Initial Term, the term of this Agreement shall continue for one (1) additional year (the “</w:t>
      </w:r>
      <w:r>
        <w:rPr>
          <w:u w:val="single"/>
        </w:rPr>
        <w:t>Renewal Term</w:t>
      </w:r>
      <w:r>
        <w:rPr/>
        <w:t>”) commencing on the first anniversary of the Commencement Date (the “</w:t>
      </w:r>
      <w:r>
        <w:rPr>
          <w:u w:val="single"/>
        </w:rPr>
        <w:t>Fee Adjustment Date</w:t>
      </w:r>
      <w:r>
        <w:rPr/>
        <w:t>”).  The Initial Term and Renewal Term shall be hereinafter collectively referred to as the “</w:t>
      </w:r>
      <w:r>
        <w:rPr>
          <w:u w:val="single"/>
        </w:rPr>
        <w:t>Term</w:t>
      </w:r>
      <w:r>
        <w:rPr/>
        <w:t>”.  The Exclusivity shall remain the same during the Renewal Term.</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Fees</w:t>
      </w:r>
      <w:r>
        <w:rPr/>
        <w:t>.</w:t>
        <w:tab/>
      </w:r>
    </w:p>
    <w:p>
      <w:pPr>
        <w:pStyle w:val="Normal"/>
        <w:widowControl/>
        <w:jc w:val="both"/>
        <w:rPr/>
      </w:pPr>
      <w:r>
        <w:rPr/>
      </w:r>
    </w:p>
    <w:p>
      <w:pPr>
        <w:pStyle w:val="Normal"/>
        <w:widowControl/>
        <w:ind w:start="720" w:end="0"/>
        <w:jc w:val="both"/>
        <w:rPr/>
      </w:pPr>
      <w:r>
        <w:rPr/>
        <w:t>(a)</w:t>
        <w:tab/>
        <w:t>On the Commencement Date, Enron shall pay Argus a fee of $40,000.00 (the “</w:t>
      </w:r>
      <w:r>
        <w:rPr>
          <w:u w:val="single"/>
        </w:rPr>
        <w:t>Exclusivity Fee</w:t>
      </w:r>
      <w:r>
        <w:rPr/>
        <w:t xml:space="preserve">”) for the Service, such Exclusivity Fee to be due and payable at the offices of Argus set forth herein.  The Exclusivity Fee paid to Argus’ is in consideration of Argus’ obligation to provide the Service exclusively to Enron as set forth in Section 5 and such Exclusivity Fee shall be refundable to Enron in the event of a breach of Section 5 by Argus in addition to any other remedies made available to Enron pursuant to Section 14.  </w:t>
      </w:r>
    </w:p>
    <w:p>
      <w:pPr>
        <w:pStyle w:val="Normal"/>
        <w:widowControl/>
        <w:ind w:start="720" w:end="0"/>
        <w:jc w:val="both"/>
        <w:rPr/>
      </w:pPr>
      <w:r>
        <w:rPr/>
      </w:r>
    </w:p>
    <w:p>
      <w:pPr>
        <w:pStyle w:val="Normal"/>
        <w:widowControl/>
        <w:tabs>
          <w:tab w:val="clear" w:pos="720"/>
          <w:tab w:val="left" w:pos="630" w:leader="none"/>
          <w:tab w:val="left" w:pos="1440" w:leader="none"/>
        </w:tabs>
        <w:ind w:start="720" w:end="0"/>
        <w:jc w:val="both"/>
        <w:rPr/>
      </w:pPr>
      <w:r>
        <w:rPr/>
        <w:t>(b)</w:t>
        <w:tab/>
        <w:t>During the Term, Enron shall also pay to Argus a variable fee (the “</w:t>
      </w:r>
      <w:r>
        <w:rPr>
          <w:u w:val="single"/>
        </w:rPr>
        <w:t>Variable Fee</w:t>
      </w:r>
      <w:r>
        <w:rPr/>
        <w:t>”) on the thirtieth (30</w:t>
      </w:r>
      <w:r>
        <w:rPr>
          <w:vertAlign w:val="superscript"/>
        </w:rPr>
        <w:t>th</w:t>
      </w:r>
      <w:r>
        <w:rPr/>
        <w:t xml:space="preserve">)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Exclusivity</w:t>
      </w:r>
      <w:r>
        <w:rPr/>
        <w:t>.  The parties agree that Enron’s competitive position would be significantly prejudiced and an essential purpose of this Agreement would be defeated if Argus were to provide the Reports to any other owners or operators of energy trading websites or similar websites where energy related commodities are exchanged for the purpose of posting all or any portion of the Reports on a website or other external distribution.  Therefore, Argus agrees that during the Term of this Agreement, Argus shall not provide the Reports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In addition, Argus shall not provide any other information contained in any Publication produced by Argus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Reporting</w:t>
      </w:r>
      <w:r>
        <w:rPr/>
        <w:t>.</w:t>
      </w:r>
    </w:p>
    <w:p>
      <w:pPr>
        <w:pStyle w:val="Normal"/>
        <w:widowControl/>
        <w:jc w:val="both"/>
        <w:rPr/>
      </w:pPr>
      <w:r>
        <w:rPr/>
      </w:r>
    </w:p>
    <w:p>
      <w:pPr>
        <w:pStyle w:val="BodyTextIndent"/>
        <w:rPr/>
      </w:pPr>
      <w:r>
        <w:rPr/>
        <w:t>(a)</w:t>
        <w:tab/>
        <w:t>Within ten (10) days after the Commencement Date and within ten (10) days after the commencement of each subsequent quarter (January 10, April 10, July 10 and October 10), Argus shall submit to Enron a statement containing the number of Subscribers as of the first day of such quarter, such statement to be certified by an authorized officer of Argus;</w:t>
      </w:r>
    </w:p>
    <w:p>
      <w:pPr>
        <w:pStyle w:val="Normal"/>
        <w:widowControl/>
        <w:ind w:start="720" w:end="0"/>
        <w:jc w:val="both"/>
        <w:rPr>
          <w:u w:val="single"/>
        </w:rPr>
      </w:pPr>
      <w:r>
        <w:rPr>
          <w:u w:val="single"/>
        </w:rPr>
      </w:r>
    </w:p>
    <w:p>
      <w:pPr>
        <w:pStyle w:val="BodyTextIndent"/>
        <w:rPr/>
      </w:pPr>
      <w:r>
        <w:rPr/>
        <w:t>(b)</w:t>
        <w:tab/>
        <w:t>Within ten (10) days after the expiration of each quarter commencing on the expiration of the first quarter after the Commencement Date, Argus shall submit to Enron a statement containing the number of new Subscribers since the commencement of such quarter (or the Commencement Date, as applicable), such statement to be certified by an authorized officer of Argus;  and</w:t>
      </w:r>
    </w:p>
    <w:p>
      <w:pPr>
        <w:pStyle w:val="Normal"/>
        <w:widowControl/>
        <w:jc w:val="both"/>
        <w:rPr/>
      </w:pPr>
      <w:r>
        <w:rPr/>
      </w:r>
    </w:p>
    <w:p>
      <w:pPr>
        <w:pStyle w:val="Normal"/>
        <w:widowControl/>
        <w:ind w:start="720" w:end="0"/>
        <w:jc w:val="both"/>
        <w:rPr/>
      </w:pPr>
      <w:r>
        <w:rPr/>
        <w:t>(c)</w:t>
        <w:tab/>
        <w:t>Within ten (10) days after the expiration of each quarter commencing on the expiration of the first quarter after the Commencement Date, Enron shall submit to Argus a statement containing the number of Users during the preceding quarter and a statement setting forth the Variable Fee for the preceding quarter (or for the period from the Commencement Date to the end of the first quarter, as applicable), and the calculations made to determine such Variable Fee, such statement to be certified by an authorized officer of Enron.</w:t>
      </w:r>
    </w:p>
    <w:p>
      <w:pPr>
        <w:pStyle w:val="Normal"/>
        <w:widowControl/>
        <w:ind w:start="720" w:end="0"/>
        <w:jc w:val="both"/>
        <w:rPr>
          <w:b/>
        </w:rPr>
      </w:pPr>
      <w:r>
        <w:rPr>
          <w:b/>
        </w:rPr>
      </w:r>
    </w:p>
    <w:p>
      <w:pPr>
        <w:pStyle w:val="BodyTextIndent"/>
        <w:rPr/>
      </w:pPr>
      <w:r>
        <w:rPr/>
        <w:t>Twice during the Initial Term and twice during any Renewal Term, Argus’ independent auditor, provided that such auditor executes a confidentiality agreement in form and substance satisfactory to Enron, at Argus’ sole cost and expense and upon ten (10) days’ written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Argus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Argus’ independent auditor determines that Enron misreported any figure or caused Enron to underpay any amount, Argus will promptly furnish to Enron a copy of the results of its audit setting forth the discrepancy, and showing, in reasonable detail, the basis upon which the same was determined.  Enron shall remit to Argus a sum equal to the amount of any underpayment within fifteen (15) days after notification of the discrepancy.  If such underpayment is greater than five percent (5%) of the total amount which should have been paid by Enron, then Enron shall reimburse Argus for the cost of the audit.</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Argus Attrition Factor</w:t>
      </w:r>
      <w:r>
        <w:rPr/>
        <w:t>.  Provided that Argus has incurred a decline in excess of ten percent (10%) of its total number of Subscribers (or if an audit has already occurred, a decline in excess of ten percent (10%) since the previous audit), Argus may request an audit of the Argus Attrition Factor by an independent auditor mutually agreed to by the parties (the “</w:t>
      </w:r>
      <w:r>
        <w:rPr>
          <w:u w:val="single"/>
        </w:rPr>
        <w:t>Attrition Factor Auditor</w:t>
      </w:r>
      <w:r>
        <w:rPr/>
        <w:t xml:space="preserve">”).  In the event Argus requests such an audit, Argus shall provide Enron with ten (10) days prior written notice of such audit.  Within ten (10) days after such request by Argus, (i) Argus shall submit a list to the Attrition Factor Auditor of (A) the identities of the Subscribers as of the Commencement Date and any new Subscribers as of the date of the audit, (B) the identities of the Subscribers which have terminated their subscription to a Publication since the Commencement Date, (C) the date on which such Subscriber terminated its subscription and (D) documentation verifying the information referenced in items (A), (B) and (C) above,  and (ii) Enron shall submit a list to the Attrition factor Auditor of (X) the identities of all Users and (Y) documentation verifying the information referenced in item (X) above.  The Attrition Factor Auditor shall determine the Argus Attrition Factor from such information and submit its findings to both parties.  Argus shall be responsible for the cost and expense of any audit except in the event of an increase in the ArgusAttrition Factor from the previous audit by ten percent (10%) or more, in which case Enron shall be responsible for fifty percent (50%) of such cost and expense.  In the event an audit is not requested by Argus pursuant to this Section 7, the Attrition Rate shall be deemed zero (0).  The Attrition Rate shall never increase except by determination of the Attrition Factor Auditor.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License</w:t>
      </w:r>
      <w:r>
        <w:rPr/>
        <w:t xml:space="preserve">.  Argus hereby licenses the Argus Authorized Trademarks so that Enron may quote Argus as the source of the Reports provided that the use of the Argus Authorized Trademarks shall not create or provide, and such use shall not indicate that Enron has, any right, title or interest in the Argus Authorized Trademarks other than the authorizations provided in this Agreement.  </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Standard of Services</w:t>
      </w:r>
      <w:r>
        <w:rPr/>
        <w:t>.  Argus agrees and covenants that the Service shall be conducted in accordance with all applicable laws and regulations and in accordance with all prevailing and accepted industry practices and standards of customer service, quality and fair dealing.  Argus expressly disclaims any warranty of merchantability and fitness for a particular purpose.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Confidential Information</w:t>
      </w:r>
      <w:r>
        <w:rPr/>
        <w:t>.  Enron and Argus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10 shall survive the termination or expiration of this Agreement for a period of two (2) years.  Notwithstanding anything contained herein to the contrary, Enron may disclose the existence of this Agreement without the prior written consent of Argus.</w:t>
      </w:r>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BodyTextIndent"/>
        <w:tabs>
          <w:tab w:val="clear" w:pos="720"/>
          <w:tab w:val="left" w:pos="1440" w:leader="none"/>
        </w:tabs>
        <w:rPr/>
      </w:pPr>
      <w:r>
        <w:rPr/>
        <w:t>(a)</w:t>
        <w:tab/>
        <w:t xml:space="preserve">Argus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Argus Authorized Trademarks, with full and absolute right to license the Argus Trademarks to Enron as contemplated herein, (vi) no part of the Reports or Argus Authorized Trademarks shall infringe upon the copyrights, trademarks, trade secrets, patents, intellectual property rights or any other proprietary rights of any other person or entity, (vii) the accuracy of all Reports provided under this Agreement shall be true and correct as of the date provided, (viii) the performance of Argus’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(b)</w:t>
        <w:tab/>
        <w:t>Enron represents and warrants to Argus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For purposes of this Section 11(b), “material agreement” shall mean any agreement that creates an obligation of $100,000,000 or more.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Indemnification</w:t>
      </w:r>
      <w:r>
        <w:rPr/>
        <w:t xml:space="preserve">.  </w:t>
        <w:tab/>
        <w:t>Argus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the representations, warranties and covenants set forth in this Agreement or in the performance of any of its duties, responsibilities or services under this Agreement.</w:t>
      </w:r>
    </w:p>
    <w:p>
      <w:pPr>
        <w:pStyle w:val="Normal"/>
        <w:widowControl/>
        <w:ind w:start="720" w:end="0"/>
        <w:jc w:val="both"/>
        <w:rPr>
          <w:u w:val="single"/>
        </w:rPr>
      </w:pPr>
      <w:r>
        <w:rPr>
          <w:u w:val="single"/>
        </w:rPr>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Insurance</w:t>
      </w:r>
      <w:r>
        <w:rPr/>
        <w:t>.</w:t>
        <w:tab/>
        <w:t>Argus agrees that it will maintain insurance with a carrier reasonably acceptable to Enron and with coverage for commercial general liability and errors and omissions of at least one million dollars per occurrence.  Argus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keepNext w:val="true"/>
        <w:widowControl/>
        <w:numPr>
          <w:ilvl w:val="0"/>
          <w:numId w:val="2"/>
        </w:numPr>
        <w:tabs>
          <w:tab w:val="clear" w:pos="720"/>
        </w:tabs>
        <w:ind w:hanging="0" w:start="0" w:end="0"/>
        <w:jc w:val="both"/>
        <w:rPr>
          <w:u w:val="single"/>
        </w:rPr>
      </w:pPr>
      <w:r>
        <w:rPr>
          <w:u w:val="single"/>
        </w:rPr>
        <w:t>Termination For Breach</w:t>
      </w:r>
    </w:p>
    <w:p>
      <w:pPr>
        <w:pStyle w:val="Normal"/>
        <w:keepNext w:val="true"/>
        <w:widowControl/>
        <w:jc w:val="both"/>
        <w:rPr>
          <w:u w:val="single"/>
        </w:rPr>
      </w:pPr>
      <w:r>
        <w:rPr>
          <w:u w:val="single"/>
        </w:rPr>
      </w:r>
    </w:p>
    <w:p>
      <w:pPr>
        <w:pStyle w:val="BodyTextIndent2"/>
        <w:ind w:hanging="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ind w:start="720" w:end="0"/>
        <w:jc w:val="both"/>
        <w:rPr/>
      </w:pPr>
      <w:r>
        <w:rPr/>
      </w:r>
    </w:p>
    <w:p>
      <w:pPr>
        <w:pStyle w:val="BodyTextIndent"/>
        <w:rPr/>
      </w:pPr>
      <w:r>
        <w:rPr/>
        <w:t>(b)</w:t>
        <w:tab/>
        <w:t>In addition to the right of termination set forth in Section 14(a) above and in addition to any other remedies available at law or in equity, in the event that due to any reason within Argus’ control, there is an interruption in the Service which continues for three (3) days following written notice to Argus of such interruption, Enron may terminate this Agreement immediately, in which case Argus shall refund, pro rata any the Subscription Fee paid in advance.</w:t>
      </w:r>
    </w:p>
    <w:p>
      <w:pPr>
        <w:pStyle w:val="BodyTextIndent"/>
        <w:rPr/>
      </w:pPr>
      <w:r>
        <w:rPr/>
      </w:r>
    </w:p>
    <w:p>
      <w:pPr>
        <w:pStyle w:val="BodyTextIndent"/>
        <w:rPr/>
      </w:pPr>
      <w:r>
        <w:rPr/>
        <w:t>(c)</w:t>
        <w:tab/>
        <w:t xml:space="preserve">Notwithstanding anything contained in Section 14(a) or (b) to the contrary and in addition to any other remedies available at law or in equity, in the event of a breach by Argus of Section 5 herein, Enron may terminate this Agreement immediately.  In addition, notwithstanding anything contained in Section 29 to the contrary, Enron shall have the right to apply to a court to enjoin any breach of Section 5.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11),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Normal"/>
        <w:widowControl/>
        <w:tabs>
          <w:tab w:val="clear" w:pos="720"/>
          <w:tab w:val="left" w:pos="5054" w:leader="none"/>
        </w:tabs>
        <w:ind w:start="720" w:end="0"/>
        <w:jc w:val="both"/>
        <w:rPr/>
      </w:pPr>
      <w:r>
        <w:rPr/>
        <w:t>If to Enron:</w:t>
        <w:tab/>
        <w:t>If to Argus:</w:t>
      </w:r>
    </w:p>
    <w:p>
      <w:pPr>
        <w:pStyle w:val="Normal"/>
        <w:widowControl/>
        <w:tabs>
          <w:tab w:val="clear" w:pos="720"/>
          <w:tab w:val="right" w:pos="2943" w:leader="none"/>
        </w:tabs>
        <w:ind w:start="720" w:end="0"/>
        <w:jc w:val="both"/>
        <w:rPr/>
      </w:pPr>
      <w:r>
        <w:rPr/>
      </w:r>
    </w:p>
    <w:p>
      <w:pPr>
        <w:pStyle w:val="Normal"/>
        <w:widowControl/>
        <w:tabs>
          <w:tab w:val="clear" w:pos="720"/>
          <w:tab w:val="left" w:pos="4680" w:leader="none"/>
          <w:tab w:val="left" w:pos="5143" w:leader="none"/>
          <w:tab w:val="right" w:pos="8640" w:leader="none"/>
        </w:tabs>
        <w:ind w:start="720" w:end="0"/>
        <w:jc w:val="both"/>
        <w:rPr/>
      </w:pPr>
      <w:r>
        <w:rPr>
          <w:u w:val="single"/>
        </w:rPr>
        <w:tab/>
      </w:r>
      <w:r>
        <w:rPr/>
        <w:tab/>
      </w:r>
      <w:r>
        <w:rPr>
          <w:u w:val="single"/>
        </w:rPr>
        <w:tab/>
      </w:r>
    </w:p>
    <w:p>
      <w:pPr>
        <w:pStyle w:val="Normal"/>
        <w:widowControl/>
        <w:tabs>
          <w:tab w:val="clear" w:pos="720"/>
          <w:tab w:val="left" w:pos="4680" w:leader="none"/>
          <w:tab w:val="left" w:pos="5143" w:leader="none"/>
          <w:tab w:val="right" w:pos="8640" w:leader="none"/>
        </w:tabs>
        <w:ind w:start="720" w:end="0"/>
        <w:jc w:val="both"/>
        <w:rPr/>
      </w:pPr>
      <w:r>
        <w:rPr>
          <w:u w:val="single"/>
        </w:rPr>
        <w:tab/>
      </w:r>
      <w:r>
        <w:rPr/>
        <w:tab/>
      </w:r>
      <w:r>
        <w:rPr>
          <w:u w:val="single"/>
        </w:rPr>
        <w:tab/>
      </w:r>
    </w:p>
    <w:p>
      <w:pPr>
        <w:pStyle w:val="Normal"/>
        <w:widowControl/>
        <w:tabs>
          <w:tab w:val="clear" w:pos="720"/>
          <w:tab w:val="left" w:pos="4680" w:leader="none"/>
          <w:tab w:val="left" w:pos="5143" w:leader="none"/>
          <w:tab w:val="right" w:pos="8640" w:leader="none"/>
        </w:tabs>
        <w:ind w:start="720" w:end="0"/>
        <w:jc w:val="both"/>
        <w:rPr/>
      </w:pPr>
      <w:r>
        <w:rPr>
          <w:u w:val="single"/>
        </w:rPr>
        <w:tab/>
      </w:r>
      <w:r>
        <w:rPr/>
        <w:tab/>
      </w:r>
      <w:r>
        <w:rPr>
          <w:u w:val="single"/>
        </w:rPr>
        <w:tab/>
      </w:r>
    </w:p>
    <w:p>
      <w:pPr>
        <w:pStyle w:val="Normal"/>
        <w:widowControl/>
        <w:tabs>
          <w:tab w:val="clear" w:pos="720"/>
          <w:tab w:val="left" w:pos="4680" w:leader="none"/>
          <w:tab w:val="left" w:pos="5143" w:leader="none"/>
          <w:tab w:val="right" w:pos="8640" w:leader="none"/>
        </w:tabs>
        <w:ind w:start="720" w:end="0"/>
        <w:jc w:val="both"/>
        <w:rPr/>
      </w:pPr>
      <w:r>
        <w:rPr>
          <w:u w:val="single"/>
        </w:rPr>
        <w:tab/>
      </w:r>
      <w:r>
        <w:rPr/>
        <w:tab/>
      </w:r>
      <w:r>
        <w:rPr>
          <w:u w:val="single"/>
        </w:rPr>
        <w:tab/>
      </w:r>
    </w:p>
    <w:p>
      <w:pPr>
        <w:pStyle w:val="Normal"/>
        <w:widowControl/>
        <w:tabs>
          <w:tab w:val="clear" w:pos="720"/>
          <w:tab w:val="right" w:pos="3614" w:leader="none"/>
          <w:tab w:val="left" w:pos="5143" w:leader="none"/>
          <w:tab w:val="right" w:pos="9360" w:leader="none"/>
        </w:tabs>
        <w:jc w:val="both"/>
        <w:rPr>
          <w:u w:val="single"/>
        </w:rPr>
      </w:pPr>
      <w:r>
        <w:rPr>
          <w:u w:val="single"/>
        </w:rPr>
      </w:r>
    </w:p>
    <w:p>
      <w:pPr>
        <w:pStyle w:val="Normal"/>
        <w:widowControl/>
        <w:numPr>
          <w:ilvl w:val="0"/>
          <w:numId w:val="2"/>
        </w:numPr>
        <w:tabs>
          <w:tab w:val="clear" w:pos="720"/>
          <w:tab w:val="left" w:pos="-1440" w:leader="none"/>
        </w:tabs>
        <w:ind w:hanging="0" w:start="0" w:end="0"/>
        <w:jc w:val="both"/>
        <w:rPr/>
      </w:pP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Illegal Distribution</w:t>
      </w:r>
      <w:r>
        <w:rPr/>
        <w:t>.</w:t>
        <w:tab/>
        <w:t xml:space="preserve">Enron shall use good faith efforts to ensure that the Reports are distributed by Enron only to intended Users and Enron shall aid (but in no event make expenditures exceeding $1000) Argus in identifying and preventing illegal distribution provided that Argus shall have the sole responsibility of initiating and maintaining any action, legal or otherwise in the case of any such illegal distribution.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Limitations of Liability</w:t>
      </w:r>
      <w:r>
        <w:rPr/>
        <w:t>.  EXCEPT WITH RESPECT TO LIABILITY ARISING OUT OF THE OBLIGATIONS CONTAINED IN SECTION 12,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Arbitration</w:t>
      </w:r>
      <w:r>
        <w:rPr/>
        <w:t xml:space="preserve">.  </w:t>
        <w:tab/>
        <w:t>Except for any claim arising out of a breach of Sections 10 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Enron Corp.</w:t>
        <w:tab/>
        <w:t>Energy Argus Incorporated</w:t>
      </w:r>
    </w:p>
    <w:p>
      <w:pPr>
        <w:pStyle w:val="Normal"/>
        <w:keepNext w:val="true"/>
        <w:widowControl/>
        <w:tabs>
          <w:tab w:val="clear" w:pos="720"/>
          <w:tab w:val="right" w:pos="2943" w:leader="none"/>
        </w:tabs>
        <w:jc w:val="both"/>
        <w:rPr/>
      </w:pPr>
      <w:r>
        <w:rPr/>
      </w:r>
    </w:p>
    <w:p>
      <w:pPr>
        <w:pStyle w:val="Normal"/>
        <w:widowControl/>
        <w:tabs>
          <w:tab w:val="clear" w:pos="720"/>
          <w:tab w:val="left" w:pos="4320" w:leader="none"/>
          <w:tab w:val="left" w:pos="4860" w:leader="none"/>
          <w:tab w:val="right" w:pos="9360" w:leader="none"/>
        </w:tabs>
        <w:jc w:val="both"/>
        <w:rPr/>
      </w:pPr>
      <w:r>
        <w:rPr/>
        <w:t>By:</w:t>
      </w:r>
      <w:r>
        <w:rPr>
          <w:u w:val="single"/>
        </w:rPr>
        <w:tab/>
      </w:r>
      <w:r>
        <w:rPr/>
        <w:tab/>
        <w:t>By:</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Name:</w:t>
      </w:r>
      <w:r>
        <w:rPr>
          <w:u w:val="single"/>
        </w:rPr>
        <w:tab/>
      </w:r>
      <w:r>
        <w:rPr/>
        <w:tab/>
        <w:t>Name:</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Title:</w:t>
      </w:r>
      <w:r>
        <w:rPr>
          <w:u w:val="single"/>
        </w:rPr>
        <w:tab/>
      </w:r>
      <w:r>
        <w:rPr/>
        <w:tab/>
        <w:t>Title:</w:t>
      </w:r>
      <w:r>
        <w:rPr>
          <w:u w:val="single"/>
        </w:rPr>
        <w:tab/>
      </w:r>
    </w:p>
    <w:p>
      <w:pPr>
        <w:pStyle w:val="Normal"/>
        <w:widowControl/>
        <w:tabs>
          <w:tab w:val="clear" w:pos="720"/>
          <w:tab w:val="right" w:pos="3578" w:leader="none"/>
          <w:tab w:val="left" w:pos="5107" w:leader="none"/>
        </w:tabs>
        <w:jc w:val="both"/>
        <w:rPr/>
      </w:pPr>
      <w:r>
        <w:rPr/>
      </w:r>
    </w:p>
    <w:p>
      <w:pPr>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pStyle w:val="Normal"/>
        <w:widowControl/>
        <w:tabs>
          <w:tab w:val="clear" w:pos="720"/>
          <w:tab w:val="right" w:pos="3578" w:leader="none"/>
          <w:tab w:val="left" w:pos="5107" w:leader="none"/>
        </w:tabs>
        <w:jc w:val="both"/>
        <w:rPr/>
      </w:pPr>
      <w:r>
        <w:rPr/>
      </w:r>
    </w:p>
    <w:p>
      <w:pPr>
        <w:pStyle w:val="Heading2"/>
        <w:ind w:hanging="0" w:start="0"/>
        <w:rPr/>
      </w:pPr>
      <w:r>
        <w:rPr/>
        <w:t>SCHEDULE I</w:t>
      </w:r>
    </w:p>
    <w:p>
      <w:pPr>
        <w:pStyle w:val="Normal"/>
        <w:widowControl/>
        <w:tabs>
          <w:tab w:val="clear" w:pos="720"/>
          <w:tab w:val="right" w:pos="3578" w:leader="none"/>
          <w:tab w:val="left" w:pos="5107" w:leader="none"/>
        </w:tabs>
        <w:jc w:val="both"/>
        <w:rPr>
          <w:b/>
        </w:rPr>
      </w:pPr>
      <w:r>
        <w:rPr>
          <w:b/>
        </w:rPr>
      </w:r>
    </w:p>
    <w:p>
      <w:pPr>
        <w:pStyle w:val="Normal"/>
        <w:widowControl/>
        <w:tabs>
          <w:tab w:val="clear" w:pos="720"/>
          <w:tab w:val="right" w:pos="3578" w:leader="none"/>
          <w:tab w:val="left" w:pos="5107" w:leader="none"/>
        </w:tabs>
        <w:jc w:val="both"/>
        <w:rPr>
          <w:b/>
        </w:rPr>
      </w:pPr>
      <w:r>
        <w:rPr>
          <w:b/>
        </w:rPr>
      </w:r>
    </w:p>
    <w:p>
      <w:pPr>
        <w:pStyle w:val="BodyText"/>
        <w:tabs>
          <w:tab w:val="clear" w:pos="720"/>
          <w:tab w:val="right" w:pos="3578" w:leader="none"/>
          <w:tab w:val="left" w:pos="5107" w:leader="none"/>
        </w:tabs>
        <w:rPr>
          <w:bCs/>
        </w:rPr>
      </w:pPr>
      <w:r>
        <w:rPr>
          <w:bCs/>
        </w:rPr>
        <w:t xml:space="preserve">The Variable Fee shall be determined each quarter in accordance with the tables set forth below.  All fees in the tables have been annualized, therefore, to determine a quarterly fee, such figures shall be divided by four. </w:t>
      </w:r>
    </w:p>
    <w:p>
      <w:pPr>
        <w:pStyle w:val="Normal"/>
        <w:widowControl/>
        <w:tabs>
          <w:tab w:val="clear" w:pos="720"/>
          <w:tab w:val="right" w:pos="3578" w:leader="none"/>
          <w:tab w:val="left" w:pos="5107" w:leader="none"/>
        </w:tabs>
        <w:jc w:val="both"/>
        <w:rPr>
          <w:bCs/>
        </w:rPr>
      </w:pPr>
      <w:r>
        <w:rPr>
          <w:bCs/>
        </w:rPr>
      </w:r>
    </w:p>
    <w:p>
      <w:pPr>
        <w:pStyle w:val="Normal"/>
        <w:widowControl/>
        <w:tabs>
          <w:tab w:val="clear" w:pos="720"/>
          <w:tab w:val="right" w:pos="3578" w:leader="none"/>
          <w:tab w:val="left" w:pos="5107" w:leader="none"/>
        </w:tabs>
        <w:jc w:val="both"/>
        <w:rPr>
          <w:bCs/>
        </w:rPr>
      </w:pPr>
      <w:r>
        <w:rPr>
          <w:bCs/>
        </w:rPr>
        <w:t>In the event of an Attrition Rate less than or equal to 10%:</w:t>
      </w:r>
    </w:p>
    <w:p>
      <w:pPr>
        <w:pStyle w:val="Normal"/>
        <w:widowControl/>
        <w:tabs>
          <w:tab w:val="clear" w:pos="720"/>
          <w:tab w:val="right" w:pos="3578" w:leader="none"/>
          <w:tab w:val="left" w:pos="5107" w:leader="none"/>
        </w:tabs>
        <w:jc w:val="both"/>
        <w:rPr>
          <w:bCs/>
        </w:rPr>
      </w:pPr>
      <w:r>
        <w:rPr>
          <w:bCs/>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Natural Gas (“Gas”)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$1,662</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$1,278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$1,023</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Electricity (“Electricity”)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$948</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$729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$583</w:t>
            </w:r>
          </w:p>
        </w:tc>
      </w:tr>
    </w:tbl>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10% but less than or equal to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Heading4"/>
              <w:snapToGrid w:val="false"/>
              <w:rPr>
                <w:bCs/>
                <w:sz w:val="20"/>
                <w:u w:val="none"/>
              </w:rPr>
            </w:pPr>
            <w:r>
              <w:rPr>
                <w:bCs/>
                <w:sz w:val="20"/>
                <w:u w:val="non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$1,745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$1,406</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$1,176</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$995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$802</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$671</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20% but less than or equal to 30%: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center"/>
              <w:rPr>
                <w:b/>
                <w:sz w:val="20"/>
              </w:rPr>
            </w:pPr>
            <w:r>
              <w:rPr>
                <w:b/>
                <w:sz w:val="20"/>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$1,984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$1,598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$1,329</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$1,137</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$911</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$758</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30%: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center"/>
              <w:rPr>
                <w:b/>
                <w:sz w:val="20"/>
              </w:rPr>
            </w:pPr>
            <w:r>
              <w:rPr>
                <w:b/>
                <w:sz w:val="20"/>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$2,160</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$1,726</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$1,432</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$1,232</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$984</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$816</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the number of Users of a Publication exceeds a specific fee per User threshold, all Users shall be charged at the new fee (i.e. If there are 100 Users of the Gas Publication and there is an Attrition Rate of 31%, all 100 Users shall be billed at the $1,432 fee per User).</w:t>
      </w:r>
    </w:p>
    <w:sectPr>
      <w:footerReference w:type="default" r:id="rId3"/>
      <w:footerReference w:type="first" r:id="rId4"/>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/mnt/main-storage/datasets/enron-docs/doc/Energy_Argus_information_Services_Agreement_1Bc.doc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Normal"/>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/mnt/main-storage/datasets/enron-docs/doc/Energy_Argus_information_Services_Agreement_1Bc.doc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720" w:end="0"/>
      <w:jc w:val="both"/>
      <w:outlineLvl w:val="0"/>
    </w:pPr>
    <w:rPr>
      <w:b/>
    </w:rPr>
  </w:style>
  <w:style w:type="paragraph" w:styleId="Heading2">
    <w:name w:val="heading 2"/>
    <w:basedOn w:val="Normal"/>
    <w:next w:val="Normal"/>
    <w:qFormat/>
    <w:pPr>
      <w:keepNext w:val="true"/>
      <w:widowControl/>
      <w:numPr>
        <w:ilvl w:val="1"/>
        <w:numId w:val="1"/>
      </w:numPr>
      <w:tabs>
        <w:tab w:val="clear" w:pos="720"/>
        <w:tab w:val="right" w:pos="3578" w:leader="none"/>
        <w:tab w:val="left" w:pos="5107" w:leader="none"/>
      </w:tabs>
      <w:jc w:val="center"/>
      <w:outlineLvl w:val="1"/>
    </w:pPr>
    <w:rPr>
      <w:b/>
    </w:rPr>
  </w:style>
  <w:style w:type="paragraph" w:styleId="Heading3">
    <w:name w:val="heading 3"/>
    <w:basedOn w:val="Normal"/>
    <w:next w:val="Normal"/>
    <w:qFormat/>
    <w:pPr>
      <w:keepNext w:val="true"/>
      <w:widowControl/>
      <w:numPr>
        <w:ilvl w:val="2"/>
        <w:numId w:val="1"/>
      </w:numPr>
      <w:tabs>
        <w:tab w:val="clear" w:pos="720"/>
        <w:tab w:val="right" w:pos="3578" w:leader="none"/>
        <w:tab w:val="left" w:pos="5107" w:leader="none"/>
      </w:tabs>
      <w:ind w:hanging="0" w:start="0" w:end="720"/>
      <w:jc w:val="center"/>
      <w:outlineLvl w:val="2"/>
    </w:pPr>
    <w:rPr>
      <w:b/>
      <w:sz w:val="20"/>
      <w:u w:val="single"/>
    </w:rPr>
  </w:style>
  <w:style w:type="paragraph" w:styleId="Heading4">
    <w:name w:val="heading 4"/>
    <w:basedOn w:val="Normal"/>
    <w:next w:val="Normal"/>
    <w:qFormat/>
    <w:pPr>
      <w:keepNext w:val="true"/>
      <w:widowControl/>
      <w:numPr>
        <w:ilvl w:val="3"/>
        <w:numId w:val="1"/>
      </w:numPr>
      <w:tabs>
        <w:tab w:val="clear" w:pos="720"/>
        <w:tab w:val="right" w:pos="3578" w:leader="none"/>
        <w:tab w:val="left" w:pos="5107" w:leader="none"/>
      </w:tabs>
      <w:ind w:hanging="0" w:start="0" w:end="720"/>
      <w:jc w:val="center"/>
      <w:outlineLvl w:val="3"/>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2000-05-04T14:31:00Z</dcterms:created>
  <dc:creator>jpeters4</dc:creator>
  <dc:description/>
  <dc:language>en-CA</dc:language>
  <cp:lastModifiedBy>Jason Michael Peters</cp:lastModifiedBy>
  <cp:lastPrinted>2000-05-05T10:34:00Z</cp:lastPrinted>
  <dcterms:modified xsi:type="dcterms:W3CDTF">2000-05-05T13:04:00Z</dcterms:modified>
  <cp:revision>14</cp:revision>
  <dc:subject/>
  <dc:title/>
</cp:coreProperties>
</file>