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is made and entered into as of the _____ day of _________, 2000 between Enron Corp., an Oregon corporation, with offices at 1400 Smith Street, Houston, Texas 77002 (“</w:t>
      </w:r>
      <w:r>
        <w:rPr>
          <w:u w:val="single"/>
        </w:rPr>
        <w:t>Enron</w:t>
      </w:r>
      <w:r>
        <w:rPr/>
        <w:t>”) and Energy Argus Incorporated., a _______ 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xml:space="preserve">” shall mean a ratio, the numerator of which is the number of Subscribers which terminate a subscription to the Publication and subsequently </w:t>
      </w:r>
      <w:r>
        <w:rPr>
          <w:b/>
          <w:bCs/>
        </w:rPr>
        <w:t>[(within ten (10) Business Days after such termination)]</w:t>
      </w:r>
      <w:r>
        <w:rPr/>
        <w:t xml:space="preserve"> become Users during the Term (the “</w:t>
      </w:r>
      <w:r>
        <w:rPr>
          <w:u w:val="single"/>
        </w:rPr>
        <w:t>Enron Attrition Factor</w:t>
      </w:r>
      <w:r>
        <w:rPr/>
        <w:t>”) and the denominator of which is the sum of (i) the total number of Subscribers at the commencement of such quarter and (ii) the total number of new Subscribers during such quarter.</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clearing banks are 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shall mean and include, (i) all news stories, articles, editorials, price assessments, charts and analytical pieces from the Publications each day and (ii) information services (“</w:t>
      </w:r>
      <w:r>
        <w:rPr>
          <w:u w:val="single"/>
        </w:rPr>
        <w:t>Data</w:t>
      </w:r>
      <w:r>
        <w:rPr/>
        <w:t xml:space="preserve">”) including price updates on power and fuel, news and market commentary,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shall mean a person, corporation, partnership, limited liability company, organization or other entity with a unique password and user name (other than Enron or any affiliate of Enron) who accesses the Reports on the Enron Website an average of twice or more per week over the period of any given quarter.  For the purposes of this definition, no entity or organization comprised of more than one individual shall be deemed to have more than one User.</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Argus shall provide or make available a Report to Enron  each Business Day via FTP (File Transfer Protocol) or via a website which can be accessed by Enron, prior to 11:59 P.M. Greenwich Meridian 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one time fee of $40,000.00 (the “</w:t>
      </w:r>
      <w:r>
        <w:rPr>
          <w:u w:val="single"/>
        </w:rPr>
        <w:t>Subscription Fee</w:t>
      </w:r>
      <w:r>
        <w:rPr/>
        <w:t>”) for the Service, such Subscription Fee to be due and payable at the offices of Argus set forth herein.</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xml:space="preserve">)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The parties agree that Enron’s competitive position would be significantly prejudiced and an essential purpose of this Agreement would be defeated if Argus were to provide the Reports to any other owners or operators of websites for the purpose of posting all or any portion of the Reports on a website or other external distribution.  Therefore, Argus agrees that during the Term of this Agreement, Argus shall not provide the Reports to any other owners or operators of websites for external redistribution, regardless of the location of such distribution or the language used in such distribution.  In addition, Argus shall not provide any other information contained in any Publication produced by Argus to any other owners or operators of websites for external redistribution, regardless of the location of such distribution or the language used in such distribution.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Normal"/>
        <w:widowControl/>
        <w:ind w:start="720" w:end="0"/>
        <w:jc w:val="both"/>
        <w:rPr/>
      </w:pPr>
      <w:r>
        <w:rPr/>
        <w:t>(a)</w:t>
        <w:tab/>
        <w:t xml:space="preserve">Within ten (10) days after the Commencement Date and within ten (10) days after the commencement of each subsequent quarter (January 10, April 10, July 10 and October 10), Argus shall submit to Enron a statement containing the number of Subscribers as of the first day of such quarter, </w:t>
      </w:r>
      <w:r>
        <w:rPr>
          <w:b/>
        </w:rPr>
        <w:t>[such statement to be certified by an authorized officer of Argus</w:t>
      </w:r>
      <w:r>
        <w:rPr/>
        <w:t>];</w:t>
      </w:r>
    </w:p>
    <w:p>
      <w:pPr>
        <w:pStyle w:val="Normal"/>
        <w:widowControl/>
        <w:ind w:start="720" w:end="0"/>
        <w:jc w:val="both"/>
        <w:rPr>
          <w:u w:val="single"/>
        </w:rPr>
      </w:pPr>
      <w:r>
        <w:rPr>
          <w:u w:val="single"/>
        </w:rPr>
      </w:r>
    </w:p>
    <w:p>
      <w:pPr>
        <w:pStyle w:val="Normal"/>
        <w:widowControl/>
        <w:ind w:start="720" w:end="0"/>
        <w:jc w:val="both"/>
        <w:rPr/>
      </w:pPr>
      <w:r>
        <w:rPr/>
        <w:t>(b)</w:t>
        <w:tab/>
        <w:t xml:space="preserve">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w:t>
      </w:r>
      <w:r>
        <w:rPr>
          <w:b/>
        </w:rPr>
        <w:t>[such statement to be certified by an authorized officer of Argus]</w:t>
      </w:r>
      <w:r>
        <w:rPr/>
        <w:t xml:space="preserve">; </w:t>
      </w:r>
    </w:p>
    <w:p>
      <w:pPr>
        <w:pStyle w:val="Normal"/>
        <w:widowControl/>
        <w:ind w:start="720" w:end="0"/>
        <w:jc w:val="both"/>
        <w:rPr/>
      </w:pPr>
      <w:r>
        <w:rPr/>
      </w:r>
    </w:p>
    <w:p>
      <w:pPr>
        <w:pStyle w:val="Normal"/>
        <w:widowControl/>
        <w:ind w:start="720" w:end="0"/>
        <w:jc w:val="both"/>
        <w:rPr/>
      </w:pPr>
      <w:r>
        <w:rPr/>
        <w:t>(c)</w:t>
        <w:tab/>
        <w:t xml:space="preserve">Within ten (10) days after the expiration of each quarter commencing on the expiration of the first quarter after the Commencement Date, Argus shall submit to Enron a statement setting forth the Variable Fee for the preceding quarter (or for the period from the Commencement Date to the end of the first quarter, as applicable), and the calculations made to determine such Variable Fee </w:t>
      </w:r>
      <w:r>
        <w:rPr>
          <w:b/>
        </w:rPr>
        <w:t>[such statement to be certified by an authorized officer of Argus]</w:t>
      </w:r>
      <w:r>
        <w:rPr/>
        <w:t>; and</w:t>
      </w:r>
    </w:p>
    <w:p>
      <w:pPr>
        <w:pStyle w:val="Normal"/>
        <w:widowControl/>
        <w:ind w:start="720" w:end="0"/>
        <w:jc w:val="both"/>
        <w:rPr/>
      </w:pPr>
      <w:r>
        <w:rPr/>
      </w:r>
    </w:p>
    <w:p>
      <w:pPr>
        <w:pStyle w:val="Normal"/>
        <w:widowControl/>
        <w:ind w:start="720" w:end="0"/>
        <w:jc w:val="both"/>
        <w:rPr/>
      </w:pPr>
      <w:r>
        <w:rPr/>
        <w:t>(d)</w:t>
        <w:tab/>
        <w:t xml:space="preserve">Within ten (10) days after the expiration of each quarter commencing on the expiration of the first quarter after the Commencement Date, Enron shall submit to Argus a statement containing the number of Users during the preceding quarter </w:t>
      </w:r>
      <w:r>
        <w:rPr>
          <w:b/>
        </w:rPr>
        <w:t>[such statement to be certified by an authorized officer of Enron].</w:t>
      </w:r>
    </w:p>
    <w:p>
      <w:pPr>
        <w:pStyle w:val="Normal"/>
        <w:widowControl/>
        <w:ind w:start="720" w:end="0"/>
        <w:jc w:val="both"/>
        <w:rPr>
          <w:b/>
        </w:rPr>
      </w:pPr>
      <w:r>
        <w:rPr>
          <w:b/>
        </w:rPr>
      </w:r>
    </w:p>
    <w:p>
      <w:pPr>
        <w:pStyle w:val="BodyTextIndent"/>
        <w:rPr/>
      </w:pPr>
      <w:r>
        <w:rPr/>
        <w:t xml:space="preserve">[Twice during the Initial Term and twice during any Renewal Term, Enron or Enron’s independent auditor, at its cost and expense and upon ten (10) days’ notice to Argus, will have the right to examine Argus’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Enron shall have the right to make two (2) copies of such relevant books and records for the sole purpose of verification of such reports, statements and amounts, subject to Argus’ right to redact, prior to copying, any sensitive or proprietary information not relevant to the examination.  If as a result of such examination, Enron determines that Argus misreported any figure or caused Enron to overpay any amount, Enron will promptly furnish to Argus a copy of the results of its audit setting forth the discrepancy, and showing, in reasonable detail, the basis upon which the same was determined.  Argus shall remit to Enron a sum equal to the amount of any overpayment within fifteen (15) days after notification of the discrepancy.  If such  overpayment is greater than five percent (5%)  of the total amount which should have been paid by Enron, then Argus shall reimburse Enron for the cost of the audit.  </w:t>
      </w:r>
    </w:p>
    <w:p>
      <w:pPr>
        <w:pStyle w:val="BodyTextIndent"/>
        <w:rPr/>
      </w:pPr>
      <w:r>
        <w:rPr/>
      </w:r>
    </w:p>
    <w:p>
      <w:pPr>
        <w:pStyle w:val="BodyTextIndent"/>
        <w:rPr>
          <w:b/>
          <w:bCs/>
        </w:rPr>
      </w:pPr>
      <w:r>
        <w:rPr>
          <w:b/>
          <w:bCs/>
        </w:rPr>
        <w:t>[Twice during the Initial Term and twice during any Renewal Term, Argus or Argus’ independent auditor, at its cost and expense and upon ten (10) days’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b/>
          <w:bCs/>
        </w:rPr>
      </w:pPr>
      <w:r>
        <w:rPr>
          <w:b/>
          <w:bCs/>
        </w:rPr>
      </w:r>
    </w:p>
    <w:p>
      <w:pPr>
        <w:pStyle w:val="Normal"/>
        <w:widowControl/>
        <w:numPr>
          <w:ilvl w:val="0"/>
          <w:numId w:val="2"/>
        </w:numPr>
        <w:tabs>
          <w:tab w:val="clear" w:pos="720"/>
        </w:tabs>
        <w:ind w:hanging="0" w:start="0" w:end="0"/>
        <w:jc w:val="both"/>
        <w:rPr/>
      </w:pPr>
      <w:r>
        <w:rPr>
          <w:u w:val="single"/>
        </w:rPr>
        <w:t>Enron Attrition Factor</w:t>
      </w:r>
      <w:r>
        <w:rPr/>
        <w:t>.  Argus may, no more than four (4) times per calendar year, request an audit of the Enron Attrition Factor.  In the event Argus requests such an audit, Argus shall provide Enron with ten (10) days prior written notice of such audit.  Within ten (10) days after such request by Argus, (i) Argus shall submit a list of (A) the identities of the Subscribers which have terminated their subscription to a Publication since the Commencement Date, (B) the date on which such Subscriber terminated its subscription and (C) documentation verifying the information referenced in items (A) and (B) above, to an independent auditor mutually agreed to by the parties and (ii) Enron shall submit a list to such independent auditor of (X) the identities of new Users since the Commencement Date ,  (Y) the date on which such User registered with the Enron Website  and (Z) documentation verifying the information referenced in items (X) and (Y) above.  The independent auditor shall determine the Enron Attrition Factor from such information and submit its findings to both parties.  Argus shall be responsible for the cost andexpense of any audit except in the event of an increase in the Enron Attrition Factor from the previous audit by ten percent (10%) or more, in which case Enron shall be responsible for fifty percent (50%) of such cost and expense.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five (5) years.  Notwithstanding anything contained herein to the contrary, Enron may disclose the existence of this Agreement without the prior written consent of Argus.</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Argus Authorized Trademarks shall infringe upon the copyrights, trademarks, trade secrets, patents, intellectual property rights or any other proprietary rights of any other person or entity, (vii) the accuracy of all Data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w:t>
      </w:r>
    </w:p>
    <w:p>
      <w:pPr>
        <w:pStyle w:val="Normal"/>
        <w:widowControl/>
        <w:jc w:val="both"/>
        <w:rPr/>
      </w:pPr>
      <w:r>
        <w:rPr/>
      </w:r>
    </w:p>
    <w:p>
      <w:pPr>
        <w:pStyle w:val="BodyTextIndent"/>
        <w:rPr/>
      </w:pPr>
      <w:r>
        <w:rPr/>
        <w:t>(a)</w:t>
        <w:tab/>
        <w:t>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the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BodyTextIndent"/>
        <w:rPr/>
      </w:pPr>
      <w:r>
        <w:rPr/>
        <w:t>(b)</w:t>
        <w:tab/>
        <w:t>Enron agrees to indemnify and hold harmless Argus and its affiliates, officers, directors, employees, representatives, agents and successors and assigns from and against any and all claims and losses (including, but not limited to, attorneys’ fees, expert witness fees and expenses) arising from or in connection with any third party claims against Argus based on errors, omissions or other misrepresentations contained in the Reports, except to the extent the basis of such claims against Argus constitute a breach by Argus of any representation, warranty or covenant to Enron set forth herein.</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Enron may terminate this Agreement immediately, in which case Argus shall refund, pro rata any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widowControl/>
        <w:tabs>
          <w:tab w:val="clear" w:pos="720"/>
          <w:tab w:val="left" w:pos="5054" w:leader="none"/>
        </w:tabs>
        <w:ind w:start="720" w:end="0"/>
        <w:jc w:val="both"/>
        <w:rPr/>
      </w:pPr>
      <w:r>
        <w:rPr/>
        <w:t>If to Enron:</w:t>
        <w:tab/>
        <w:t>If to Argus:</w:t>
      </w:r>
    </w:p>
    <w:p>
      <w:pPr>
        <w:pStyle w:val="Normal"/>
        <w:widowControl/>
        <w:tabs>
          <w:tab w:val="clear" w:pos="720"/>
          <w:tab w:val="right" w:pos="2943" w:leader="none"/>
        </w:tabs>
        <w:ind w:start="720" w:end="0"/>
        <w:jc w:val="both"/>
        <w:rPr/>
      </w:pPr>
      <w:r>
        <w:rPr/>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left" w:pos="4680" w:leader="none"/>
          <w:tab w:val="left" w:pos="5143" w:leader="none"/>
          <w:tab w:val="right" w:pos="8640" w:leader="none"/>
        </w:tabs>
        <w:ind w:start="720" w:end="0"/>
        <w:jc w:val="both"/>
        <w:rPr/>
      </w:pPr>
      <w:r>
        <w:rPr>
          <w:u w:val="single"/>
        </w:rPr>
        <w:tab/>
      </w:r>
      <w:r>
        <w:rPr/>
        <w:tab/>
      </w:r>
      <w:r>
        <w:rPr>
          <w:u w:val="single"/>
        </w:rPr>
        <w:tab/>
      </w:r>
    </w:p>
    <w:p>
      <w:pPr>
        <w:pStyle w:val="Normal"/>
        <w:widowControl/>
        <w:tabs>
          <w:tab w:val="clear" w:pos="720"/>
          <w:tab w:val="right" w:pos="3614" w:leader="none"/>
          <w:tab w:val="left" w:pos="5143" w:leader="none"/>
          <w:tab w:val="right" w:pos="9360" w:leader="none"/>
        </w:tabs>
        <w:jc w:val="both"/>
        <w:rPr>
          <w:u w:val="single"/>
        </w:rPr>
      </w:pPr>
      <w:r>
        <w:rPr>
          <w:u w:val="single"/>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aid </w:t>
      </w:r>
      <w:r>
        <w:rPr>
          <w:b/>
          <w:bCs/>
        </w:rPr>
        <w:t>[(but in no event make expenditures exceeding $1000)]</w:t>
      </w:r>
      <w:r>
        <w:rPr/>
        <w:t xml:space="preserve"> Argus in identifying and preventing illegal distribution 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EXCEPT WITH RESPECT TO LIABILITY ARISING OUT OF THE OBLIGATIONS CONTAINED IN SECTION 12,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Corp.</w:t>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/mnt/main-storage/datasets/enron-docs/doc/Energy_Argus_information_Services_Agreement_1A.doc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/mnt/main-storage/datasets/enron-docs/doc/Energy_Argus_information_Services_Agreement_1A.doc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2000-05-01T21:20:00Z</dcterms:created>
  <dc:creator>jpeters4</dc:creator>
  <dc:description/>
  <dc:language>en-CA</dc:language>
  <cp:lastModifiedBy>jpeters4</cp:lastModifiedBy>
  <cp:lastPrinted>2000-05-03T15:36:00Z</cp:lastPrinted>
  <dcterms:modified xsi:type="dcterms:W3CDTF">2000-05-03T18:07:00Z</dcterms:modified>
  <cp:revision>18</cp:revision>
  <dc:subject/>
  <dc:title/>
</cp:coreProperties>
</file>