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theme/theme1.xml" ContentType="application/vnd.openxmlformats-officedocument.theme+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olor w:val="3333FF"/>
        </w:rPr>
      </w:pPr>
      <w:r>
        <w:rPr>
          <w:color w:val="3333FF"/>
        </w:rPr>
      </w:r>
    </w:p>
    <w:p>
      <w:pPr>
        <w:pStyle w:val="Normal"/>
        <w:jc w:val="center"/>
        <w:rPr>
          <w:color w:val="3333FF"/>
        </w:rPr>
      </w:pPr>
      <w:r>
        <w:rPr>
          <w:color w:val="3333FF"/>
        </w:rPr>
      </w:r>
    </w:p>
    <w:p>
      <w:pPr>
        <w:pStyle w:val="Normal"/>
        <w:jc w:val="center"/>
        <w:rPr>
          <w:color w:val="3333FF"/>
        </w:rPr>
      </w:pPr>
      <w:r>
        <w:rPr>
          <w:color w:val="3333FF"/>
        </w:rPr>
        <w:drawing>
          <wp:inline distT="0" distB="0" distL="0" distR="0">
            <wp:extent cx="4745355" cy="1694815"/>
            <wp:effectExtent l="0" t="0" r="0" b="0"/>
            <wp:docPr id="1" name="ric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e4" descr="" title=""/>
                    <pic:cNvPicPr>
                      <a:picLocks noChangeAspect="1" noChangeArrowheads="1"/>
                    </pic:cNvPicPr>
                  </pic:nvPicPr>
                  <pic:blipFill>
                    <a:blip r:embed="rId2"/>
                    <a:srcRect l="-9" t="-24" r="-9" b="-24"/>
                    <a:stretch>
                      <a:fillRect/>
                    </a:stretch>
                  </pic:blipFill>
                  <pic:spPr bwMode="auto">
                    <a:xfrm>
                      <a:off x="0" y="0"/>
                      <a:ext cx="4745355" cy="1694815"/>
                    </a:xfrm>
                    <a:prstGeom prst="rect">
                      <a:avLst/>
                    </a:prstGeom>
                    <a:noFill/>
                  </pic:spPr>
                </pic:pic>
              </a:graphicData>
            </a:graphic>
          </wp:inline>
        </w:drawing>
      </w:r>
    </w:p>
    <w:p>
      <w:pPr>
        <w:pStyle w:val="Normal"/>
        <w:jc w:val="center"/>
        <w:rPr>
          <w:color w:val="3333FF"/>
        </w:rPr>
      </w:pPr>
      <w:r>
        <w:rPr>
          <w:color w:val="3333FF"/>
        </w:rPr>
      </w:r>
    </w:p>
    <w:p>
      <w:pPr>
        <w:pStyle w:val="Normal"/>
        <w:jc w:val="center"/>
        <w:rPr>
          <w:color w:val="3333FF"/>
        </w:rPr>
      </w:pPr>
      <w:r>
        <w:rPr>
          <w:color w:val="3333FF"/>
        </w:rPr>
      </w:r>
    </w:p>
    <w:p>
      <w:pPr>
        <w:pStyle w:val="Normal"/>
        <w:jc w:val="center"/>
        <w:rPr>
          <w:color w:val="3333FF"/>
        </w:rPr>
      </w:pPr>
      <w:r>
        <w:rPr>
          <w:color w:val="3333FF"/>
        </w:rPr>
      </w:r>
    </w:p>
    <w:p>
      <w:pPr>
        <w:pStyle w:val="Normal"/>
        <w:jc w:val="center"/>
        <w:rPr>
          <w:color w:val="3333FF"/>
          <w:sz w:val="22"/>
        </w:rPr>
      </w:pPr>
      <w:r>
        <w:rPr>
          <w:color w:val="3333FF"/>
          <w:sz w:val="22"/>
        </w:rPr>
      </w:r>
    </w:p>
    <w:p>
      <w:pPr>
        <w:pStyle w:val="Heading5"/>
        <w:ind w:hanging="0" w:start="0"/>
        <w:rPr>
          <w:sz w:val="32"/>
        </w:rPr>
      </w:pPr>
      <w:r>
        <w:rPr>
          <w:sz w:val="32"/>
        </w:rPr>
        <w:t>MGMT 656 – Energy Derivatives</w:t>
      </w:r>
    </w:p>
    <w:p>
      <w:pPr>
        <w:pStyle w:val="Heading5"/>
        <w:ind w:hanging="0" w:start="0"/>
        <w:rPr>
          <w:sz w:val="28"/>
        </w:rPr>
      </w:pPr>
      <w:r>
        <w:rPr>
          <w:sz w:val="28"/>
        </w:rPr>
      </w:r>
    </w:p>
    <w:p>
      <w:pPr>
        <w:pStyle w:val="Normal"/>
        <w:rPr>
          <w:sz w:val="28"/>
        </w:rPr>
      </w:pPr>
      <w:r>
        <w:rPr>
          <w:sz w:val="28"/>
        </w:rPr>
      </w:r>
    </w:p>
    <w:p>
      <w:pPr>
        <w:pStyle w:val="Normal"/>
        <w:rPr/>
      </w:pPr>
      <w:r>
        <w:rPr/>
      </w:r>
    </w:p>
    <w:p>
      <w:pPr>
        <w:pStyle w:val="Heading5"/>
        <w:ind w:hanging="0" w:start="0"/>
        <w:rPr>
          <w:sz w:val="44"/>
        </w:rPr>
      </w:pPr>
      <w:r>
        <w:rPr>
          <w:sz w:val="44"/>
        </w:rPr>
        <w:t>A Study of Energy Futures Contracts in the US:</w:t>
      </w:r>
    </w:p>
    <w:p>
      <w:pPr>
        <w:pStyle w:val="Heading5"/>
        <w:ind w:hanging="0" w:start="0"/>
        <w:rPr>
          <w:sz w:val="44"/>
        </w:rPr>
      </w:pPr>
      <w:r>
        <w:rPr>
          <w:sz w:val="44"/>
        </w:rPr>
        <w:t>Comparison &amp; Economic Rationale</w:t>
      </w:r>
    </w:p>
    <w:p>
      <w:pPr>
        <w:pStyle w:val="Normal"/>
        <w:jc w:val="center"/>
        <w:rPr>
          <w:rFonts w:ascii="Lucida Sans" w:hAnsi="Lucida Sans" w:cs="Lucida Sans"/>
          <w:sz w:val="28"/>
        </w:rPr>
      </w:pPr>
      <w:r>
        <w:rPr>
          <w:rFonts w:cs="Lucida Sans" w:ascii="Lucida Sans" w:hAnsi="Lucida Sans"/>
          <w:sz w:val="28"/>
        </w:rPr>
      </w:r>
    </w:p>
    <w:p>
      <w:pPr>
        <w:pStyle w:val="Normal"/>
        <w:jc w:val="center"/>
        <w:rPr>
          <w:rFonts w:ascii="Lucida Sans" w:hAnsi="Lucida Sans" w:cs="Lucida Sans"/>
          <w:sz w:val="28"/>
        </w:rPr>
      </w:pPr>
      <w:r>
        <w:rPr>
          <w:rFonts w:cs="Lucida Sans" w:ascii="Lucida Sans" w:hAnsi="Lucida Sans"/>
          <w:sz w:val="28"/>
        </w:rPr>
      </w:r>
    </w:p>
    <w:p>
      <w:pPr>
        <w:pStyle w:val="Normal"/>
        <w:rPr>
          <w:rFonts w:ascii="Lucida Sans" w:hAnsi="Lucida Sans" w:cs="Lucida Sans"/>
          <w:sz w:val="28"/>
        </w:rPr>
      </w:pPr>
      <w:r>
        <w:rPr>
          <w:rFonts w:cs="Lucida Sans" w:ascii="Lucida Sans" w:hAnsi="Lucida Sans"/>
          <w:sz w:val="28"/>
        </w:rPr>
      </w:r>
    </w:p>
    <w:p>
      <w:pPr>
        <w:pStyle w:val="Normal"/>
        <w:jc w:val="center"/>
        <w:rPr>
          <w:rFonts w:ascii="Lucida Sans" w:hAnsi="Lucida Sans" w:cs="Lucida Sans"/>
          <w:sz w:val="28"/>
        </w:rPr>
      </w:pPr>
      <w:r>
        <w:rPr>
          <w:rFonts w:cs="Lucida Sans" w:ascii="Lucida Sans" w:hAnsi="Lucida Sans"/>
          <w:sz w:val="28"/>
        </w:rPr>
        <w:t>Team:</w:t>
      </w:r>
    </w:p>
    <w:p>
      <w:pPr>
        <w:pStyle w:val="Normal"/>
        <w:jc w:val="center"/>
        <w:rPr>
          <w:rFonts w:ascii="Lucida Sans" w:hAnsi="Lucida Sans" w:cs="Lucida Sans"/>
          <w:sz w:val="28"/>
          <w:lang w:val="de-DE"/>
        </w:rPr>
      </w:pPr>
      <w:r>
        <w:rPr>
          <w:rFonts w:cs="Lucida Sans" w:ascii="Lucida Sans" w:hAnsi="Lucida Sans"/>
          <w:sz w:val="28"/>
          <w:lang w:val="de-DE"/>
        </w:rPr>
        <w:t>John Ganguzza</w:t>
      </w:r>
    </w:p>
    <w:p>
      <w:pPr>
        <w:pStyle w:val="Normal"/>
        <w:jc w:val="center"/>
        <w:rPr>
          <w:rFonts w:ascii="Lucida Sans" w:hAnsi="Lucida Sans" w:cs="Lucida Sans"/>
          <w:sz w:val="28"/>
          <w:lang w:val="de-DE"/>
        </w:rPr>
      </w:pPr>
      <w:r>
        <w:rPr>
          <w:rFonts w:cs="Lucida Sans" w:ascii="Lucida Sans" w:hAnsi="Lucida Sans"/>
          <w:sz w:val="28"/>
          <w:lang w:val="de-DE"/>
        </w:rPr>
        <w:t>Neeraj Hingorani</w:t>
      </w:r>
    </w:p>
    <w:p>
      <w:pPr>
        <w:pStyle w:val="Normal"/>
        <w:jc w:val="center"/>
        <w:rPr>
          <w:rFonts w:ascii="Lucida Sans" w:hAnsi="Lucida Sans" w:cs="Lucida Sans"/>
          <w:sz w:val="28"/>
          <w:lang w:val="de-DE"/>
        </w:rPr>
      </w:pPr>
      <w:r>
        <w:rPr>
          <w:rFonts w:cs="Lucida Sans" w:ascii="Lucida Sans" w:hAnsi="Lucida Sans"/>
          <w:sz w:val="28"/>
          <w:lang w:val="de-DE"/>
        </w:rPr>
        <w:t>Grant Johnson</w:t>
      </w:r>
    </w:p>
    <w:p>
      <w:pPr>
        <w:pStyle w:val="Normal"/>
        <w:jc w:val="center"/>
        <w:rPr>
          <w:rFonts w:ascii="Lucida Sans" w:hAnsi="Lucida Sans" w:cs="Lucida Sans"/>
          <w:sz w:val="28"/>
          <w:lang w:val="de-DE"/>
        </w:rPr>
      </w:pPr>
      <w:r>
        <w:rPr>
          <w:rFonts w:cs="Lucida Sans" w:ascii="Lucida Sans" w:hAnsi="Lucida Sans"/>
          <w:sz w:val="28"/>
          <w:lang w:val="de-DE"/>
        </w:rPr>
        <w:t>Duane Maue</w:t>
      </w:r>
    </w:p>
    <w:p>
      <w:pPr>
        <w:pStyle w:val="Normal"/>
        <w:jc w:val="center"/>
        <w:rPr>
          <w:rFonts w:ascii="Lucida Sans" w:hAnsi="Lucida Sans" w:cs="Lucida Sans"/>
          <w:sz w:val="28"/>
          <w:lang w:val="de-DE"/>
        </w:rPr>
      </w:pPr>
      <w:r>
        <w:rPr>
          <w:rFonts w:cs="Lucida Sans" w:ascii="Lucida Sans" w:hAnsi="Lucida Sans"/>
          <w:sz w:val="28"/>
          <w:lang w:val="de-DE"/>
        </w:rPr>
        <w:t>Rishad Patel</w:t>
      </w:r>
    </w:p>
    <w:p>
      <w:pPr>
        <w:pStyle w:val="Normal"/>
        <w:jc w:val="center"/>
        <w:rPr>
          <w:rFonts w:ascii="Lucida Sans" w:hAnsi="Lucida Sans" w:cs="Lucida Sans"/>
          <w:sz w:val="28"/>
          <w:lang w:val="de-DE"/>
        </w:rPr>
      </w:pPr>
      <w:r>
        <w:rPr>
          <w:rFonts w:cs="Lucida Sans" w:ascii="Lucida Sans" w:hAnsi="Lucida Sans"/>
          <w:sz w:val="28"/>
          <w:lang w:val="de-DE"/>
        </w:rPr>
        <w:t>Eric Van Stone</w:t>
      </w:r>
    </w:p>
    <w:p>
      <w:pPr>
        <w:pStyle w:val="Normal"/>
        <w:jc w:val="center"/>
        <w:rPr>
          <w:b/>
          <w:bCs/>
        </w:rPr>
      </w:pPr>
      <w:r>
        <w:rPr>
          <w:rFonts w:cs="Lucida Sans" w:ascii="Lucida Sans" w:hAnsi="Lucida Sans"/>
          <w:sz w:val="28"/>
          <w:lang w:val="de-DE"/>
        </w:rPr>
        <w:t>Paulo Yoshiuro</w:t>
      </w:r>
    </w:p>
    <w:p>
      <w:pPr>
        <w:pStyle w:val="Normal"/>
        <w:rPr>
          <w:rFonts w:ascii="Lucida Sans" w:hAnsi="Lucida Sans" w:cs="Lucida Sans"/>
          <w:b/>
          <w:bCs/>
          <w:sz w:val="28"/>
        </w:rPr>
      </w:pPr>
      <w:r>
        <w:rPr>
          <w:rFonts w:cs="Lucida Sans" w:ascii="Lucida Sans" w:hAnsi="Lucida Sans"/>
          <w:b/>
          <w:bCs/>
          <w:sz w:val="28"/>
        </w:rPr>
      </w:r>
    </w:p>
    <w:p>
      <w:pPr>
        <w:pStyle w:val="Normal"/>
        <w:rPr>
          <w:rFonts w:ascii="Lucida Sans" w:hAnsi="Lucida Sans" w:cs="Lucida Sans"/>
          <w:sz w:val="28"/>
        </w:rPr>
      </w:pPr>
      <w:r>
        <w:rPr>
          <w:rFonts w:cs="Lucida Sans" w:ascii="Lucida Sans" w:hAnsi="Lucida Sans"/>
          <w:sz w:val="28"/>
        </w:rPr>
      </w:r>
    </w:p>
    <w:p>
      <w:pPr>
        <w:pStyle w:val="Normal"/>
        <w:rPr/>
      </w:pPr>
      <w:r>
        <w:rPr/>
      </w:r>
    </w:p>
    <w:p>
      <w:pPr>
        <w:pStyle w:val="Normal"/>
        <w:rPr/>
      </w:pPr>
      <w:r>
        <w:rPr/>
      </w:r>
    </w:p>
    <w:p>
      <w:pPr>
        <w:pStyle w:val="Normal"/>
        <w:rPr/>
      </w:pPr>
      <w:r>
        <w:rPr/>
      </w:r>
    </w:p>
    <w:p>
      <w:pPr>
        <w:pStyle w:val="Normal"/>
        <w:rPr/>
      </w:pPr>
      <w:r>
        <w:rPr/>
      </w:r>
    </w:p>
    <w:p>
      <w:pPr>
        <w:sectPr>
          <w:footerReference w:type="default" r:id="rId3"/>
          <w:type w:val="nextPage"/>
          <w:pgSz w:w="12240" w:h="15840"/>
          <w:pgMar w:left="1440" w:right="1440" w:gutter="0" w:header="0" w:top="1440" w:footer="720" w:bottom="1440"/>
          <w:pgNumType w:fmt="decimal"/>
          <w:formProt w:val="false"/>
          <w:textDirection w:val="lrTb"/>
          <w:docGrid w:type="default" w:linePitch="360" w:charSpace="0"/>
        </w:sectPr>
        <w:pStyle w:val="Heading"/>
        <w:rPr>
          <w:sz w:val="24"/>
        </w:rPr>
      </w:pPr>
      <w:r>
        <w:rPr>
          <w:rFonts w:cs="Lucida Sans" w:ascii="Lucida Sans" w:hAnsi="Lucida Sans"/>
          <w:b w:val="false"/>
          <w:bCs w:val="false"/>
        </w:rPr>
        <w:t>Honor Code</w:t>
      </w:r>
      <w:r>
        <w:rPr>
          <w:rFonts w:cs="Lucida Sans" w:ascii="Lucida Sans" w:hAnsi="Lucida Sans"/>
        </w:rPr>
        <w:t>: On our honor we have neither given nor received aid on this assignment.</w:t>
      </w:r>
    </w:p>
    <w:p>
      <w:pPr>
        <w:pStyle w:val="Heading1"/>
        <w:ind w:hanging="0" w:start="0"/>
        <w:jc w:val="center"/>
        <w:rPr>
          <w:sz w:val="28"/>
        </w:rPr>
      </w:pPr>
      <w:r>
        <w:rPr>
          <w:sz w:val="28"/>
        </w:rPr>
        <w:t>TABLE OF CONTENTS</w:t>
      </w:r>
    </w:p>
    <w:p>
      <w:pPr>
        <w:pStyle w:val="Heading2"/>
        <w:tabs>
          <w:tab w:val="clear" w:pos="720"/>
          <w:tab w:val="right" w:pos="9360" w:leader="none"/>
        </w:tabs>
        <w:rPr>
          <w:b w:val="false"/>
          <w:bCs w:val="false"/>
          <w:sz w:val="28"/>
        </w:rPr>
      </w:pPr>
      <w:r>
        <w:rPr>
          <w:b w:val="false"/>
          <w:bCs w:val="false"/>
          <w:sz w:val="28"/>
        </w:rPr>
      </w:r>
    </w:p>
    <w:p>
      <w:pPr>
        <w:pStyle w:val="Heading2"/>
        <w:tabs>
          <w:tab w:val="clear" w:pos="720"/>
          <w:tab w:val="right" w:pos="9360" w:leader="none"/>
        </w:tabs>
        <w:rPr/>
      </w:pPr>
      <w:r>
        <w:rPr/>
        <w:t>Executive Summary ………………………………………………………………….</w:t>
        <w:tab/>
        <w:t>3</w:t>
      </w:r>
    </w:p>
    <w:p>
      <w:pPr>
        <w:pStyle w:val="Normal"/>
        <w:rPr>
          <w:b/>
          <w:bCs/>
        </w:rPr>
      </w:pPr>
      <w:r>
        <w:rPr>
          <w:b/>
          <w:bCs/>
        </w:rPr>
      </w:r>
    </w:p>
    <w:p>
      <w:pPr>
        <w:pStyle w:val="Heading2"/>
        <w:tabs>
          <w:tab w:val="clear" w:pos="720"/>
          <w:tab w:val="right" w:pos="9360" w:leader="none"/>
        </w:tabs>
        <w:rPr/>
      </w:pPr>
      <w:r>
        <w:rPr/>
        <w:t>Determinants of Success …………………………………………………………….</w:t>
        <w:tab/>
        <w:t>5</w:t>
      </w:r>
    </w:p>
    <w:p>
      <w:pPr>
        <w:pStyle w:val="Normal"/>
        <w:rPr>
          <w:b/>
          <w:bCs/>
        </w:rPr>
      </w:pPr>
      <w:r>
        <w:rPr>
          <w:b/>
          <w:bCs/>
        </w:rPr>
      </w:r>
    </w:p>
    <w:p>
      <w:pPr>
        <w:pStyle w:val="Heading1"/>
        <w:tabs>
          <w:tab w:val="clear" w:pos="720"/>
          <w:tab w:val="right" w:pos="9360" w:leader="none"/>
        </w:tabs>
        <w:ind w:hanging="0" w:start="0"/>
        <w:rPr/>
      </w:pPr>
      <w:r>
        <w:rPr>
          <w:i/>
          <w:iCs/>
        </w:rPr>
        <w:t xml:space="preserve">            </w:t>
      </w:r>
      <w:r>
        <w:rPr>
          <w:i/>
          <w:iCs/>
        </w:rPr>
        <w:t>Homogeneous, Fungible, &amp; Deliverable...</w:t>
      </w:r>
      <w:r>
        <w:rPr/>
        <w:t>.……………………………………….</w:t>
        <w:tab/>
        <w:t>5</w:t>
      </w:r>
    </w:p>
    <w:p>
      <w:pPr>
        <w:pStyle w:val="Heading1"/>
        <w:ind w:hanging="0" w:start="0"/>
        <w:rPr/>
      </w:pPr>
      <w:r>
        <w:rPr/>
      </w:r>
    </w:p>
    <w:p>
      <w:pPr>
        <w:pStyle w:val="Heading1"/>
        <w:tabs>
          <w:tab w:val="clear" w:pos="720"/>
          <w:tab w:val="right" w:pos="9360" w:leader="none"/>
        </w:tabs>
        <w:ind w:firstLine="720" w:start="0" w:end="0"/>
        <w:rPr/>
      </w:pPr>
      <w:r>
        <w:rPr>
          <w:i/>
          <w:iCs/>
        </w:rPr>
        <w:t>Presence of Price Volatility</w:t>
      </w:r>
      <w:r>
        <w:rPr/>
        <w:t>…….…..………………………………………………</w:t>
        <w:tab/>
        <w:t>7</w:t>
      </w:r>
    </w:p>
    <w:p>
      <w:pPr>
        <w:pStyle w:val="Heading1"/>
        <w:ind w:hanging="0" w:start="0"/>
        <w:rPr/>
      </w:pPr>
      <w:r>
        <w:rPr/>
      </w:r>
    </w:p>
    <w:p>
      <w:pPr>
        <w:pStyle w:val="Heading1"/>
        <w:tabs>
          <w:tab w:val="clear" w:pos="720"/>
          <w:tab w:val="right" w:pos="9360" w:leader="none"/>
        </w:tabs>
        <w:ind w:firstLine="720" w:start="0" w:end="0"/>
        <w:rPr/>
      </w:pPr>
      <w:r>
        <w:rPr>
          <w:i/>
          <w:iCs/>
        </w:rPr>
        <w:t>Wide Market Participation</w:t>
      </w:r>
      <w:r>
        <w:rPr/>
        <w:t>.………..………………………………………………</w:t>
        <w:tab/>
        <w:t>8</w:t>
      </w:r>
    </w:p>
    <w:p>
      <w:pPr>
        <w:pStyle w:val="Heading1"/>
        <w:ind w:hanging="0" w:start="0"/>
        <w:jc w:val="end"/>
        <w:rPr/>
      </w:pPr>
      <w:r>
        <w:rPr/>
      </w:r>
    </w:p>
    <w:p>
      <w:pPr>
        <w:pStyle w:val="Heading1"/>
        <w:tabs>
          <w:tab w:val="clear" w:pos="720"/>
          <w:tab w:val="right" w:pos="9360" w:leader="none"/>
        </w:tabs>
        <w:ind w:firstLine="720" w:start="0" w:end="0"/>
        <w:rPr/>
      </w:pPr>
      <w:r>
        <w:rPr>
          <w:i/>
          <w:iCs/>
        </w:rPr>
        <w:t>Market Timing……………….</w:t>
      </w:r>
      <w:r>
        <w:rPr/>
        <w:t>.……………………………………………………</w:t>
        <w:tab/>
        <w:t>9</w:t>
      </w:r>
    </w:p>
    <w:p>
      <w:pPr>
        <w:pStyle w:val="Heading1"/>
        <w:tabs>
          <w:tab w:val="clear" w:pos="720"/>
          <w:tab w:val="right" w:pos="9360" w:leader="none"/>
        </w:tabs>
        <w:ind w:firstLine="720" w:start="0" w:end="0"/>
        <w:rPr>
          <w:i/>
          <w:i/>
          <w:iCs/>
        </w:rPr>
      </w:pPr>
      <w:r>
        <w:rPr>
          <w:i/>
          <w:iCs/>
        </w:rPr>
      </w:r>
    </w:p>
    <w:p>
      <w:pPr>
        <w:pStyle w:val="Heading1"/>
        <w:tabs>
          <w:tab w:val="clear" w:pos="720"/>
          <w:tab w:val="right" w:pos="9360" w:leader="none"/>
        </w:tabs>
        <w:ind w:firstLine="720" w:start="0" w:end="0"/>
        <w:rPr/>
      </w:pPr>
      <w:r>
        <w:rPr>
          <w:i/>
          <w:iCs/>
        </w:rPr>
        <w:t>Readily Available Price Information</w:t>
      </w:r>
      <w:r>
        <w:rPr/>
        <w:t>………………………………………………</w:t>
        <w:tab/>
        <w:t>9</w:t>
      </w:r>
    </w:p>
    <w:p>
      <w:pPr>
        <w:pStyle w:val="Heading1"/>
        <w:tabs>
          <w:tab w:val="clear" w:pos="720"/>
          <w:tab w:val="right" w:pos="9360" w:leader="none"/>
        </w:tabs>
        <w:ind w:firstLine="720" w:start="0" w:end="0"/>
        <w:rPr>
          <w:i/>
          <w:i/>
          <w:iCs/>
        </w:rPr>
      </w:pPr>
      <w:r>
        <w:rPr>
          <w:i/>
          <w:iCs/>
        </w:rPr>
      </w:r>
    </w:p>
    <w:p>
      <w:pPr>
        <w:pStyle w:val="Heading1"/>
        <w:tabs>
          <w:tab w:val="clear" w:pos="720"/>
          <w:tab w:val="right" w:pos="9360" w:leader="none"/>
        </w:tabs>
        <w:ind w:firstLine="720" w:start="0" w:end="0"/>
        <w:rPr/>
      </w:pPr>
      <w:r>
        <w:rPr>
          <w:i/>
          <w:iCs/>
        </w:rPr>
        <w:t>Contract Flexibility…………..</w:t>
      </w:r>
      <w:r>
        <w:rPr/>
        <w:t>.……………………………………………………</w:t>
        <w:tab/>
        <w:t>10</w:t>
      </w:r>
    </w:p>
    <w:p>
      <w:pPr>
        <w:pStyle w:val="Heading1"/>
        <w:tabs>
          <w:tab w:val="clear" w:pos="720"/>
          <w:tab w:val="right" w:pos="9360" w:leader="none"/>
        </w:tabs>
        <w:ind w:firstLine="720" w:start="0" w:end="0"/>
        <w:rPr>
          <w:i/>
          <w:i/>
          <w:iCs/>
        </w:rPr>
      </w:pPr>
      <w:r>
        <w:rPr>
          <w:i/>
          <w:iCs/>
        </w:rPr>
      </w:r>
    </w:p>
    <w:p>
      <w:pPr>
        <w:pStyle w:val="Heading1"/>
        <w:tabs>
          <w:tab w:val="clear" w:pos="720"/>
          <w:tab w:val="right" w:pos="9360" w:leader="none"/>
        </w:tabs>
        <w:ind w:firstLine="720" w:start="0" w:end="0"/>
        <w:rPr/>
      </w:pPr>
      <w:r>
        <w:rPr>
          <w:i/>
          <w:iCs/>
        </w:rPr>
        <w:t>Payment Method……………..</w:t>
      </w:r>
      <w:r>
        <w:rPr/>
        <w:t>.……………………………………………………</w:t>
        <w:tab/>
        <w:t>10</w:t>
      </w:r>
    </w:p>
    <w:p>
      <w:pPr>
        <w:pStyle w:val="Heading1"/>
        <w:tabs>
          <w:tab w:val="clear" w:pos="720"/>
          <w:tab w:val="right" w:pos="9360" w:leader="none"/>
        </w:tabs>
        <w:ind w:firstLine="720" w:start="0" w:end="0"/>
        <w:rPr>
          <w:i/>
          <w:i/>
          <w:iCs/>
        </w:rPr>
      </w:pPr>
      <w:r>
        <w:rPr>
          <w:i/>
          <w:iCs/>
        </w:rPr>
      </w:r>
    </w:p>
    <w:p>
      <w:pPr>
        <w:pStyle w:val="Heading1"/>
        <w:tabs>
          <w:tab w:val="clear" w:pos="720"/>
          <w:tab w:val="right" w:pos="9360" w:leader="none"/>
        </w:tabs>
        <w:ind w:firstLine="720" w:start="0" w:end="0"/>
        <w:rPr/>
      </w:pPr>
      <w:r>
        <w:rPr>
          <w:i/>
          <w:iCs/>
        </w:rPr>
        <w:t>Regulatory Involvement</w:t>
      </w:r>
      <w:r>
        <w:rPr/>
        <w:t>.…………………..………………………………………</w:t>
        <w:tab/>
        <w:t>11</w:t>
      </w:r>
    </w:p>
    <w:p>
      <w:pPr>
        <w:pStyle w:val="Heading1"/>
        <w:tabs>
          <w:tab w:val="clear" w:pos="720"/>
          <w:tab w:val="right" w:pos="9360" w:leader="none"/>
        </w:tabs>
        <w:ind w:firstLine="720" w:start="0" w:end="0"/>
        <w:rPr>
          <w:i/>
          <w:i/>
          <w:iCs/>
        </w:rPr>
      </w:pPr>
      <w:r>
        <w:rPr>
          <w:i/>
          <w:iCs/>
        </w:rPr>
      </w:r>
    </w:p>
    <w:p>
      <w:pPr>
        <w:pStyle w:val="Heading1"/>
        <w:tabs>
          <w:tab w:val="clear" w:pos="720"/>
          <w:tab w:val="right" w:pos="9360" w:leader="none"/>
        </w:tabs>
        <w:ind w:firstLine="720" w:start="0" w:end="0"/>
        <w:rPr/>
      </w:pPr>
      <w:r>
        <w:rPr>
          <w:i/>
          <w:iCs/>
        </w:rPr>
        <w:t>Sufficient Deliverable Supplies</w:t>
      </w:r>
      <w:r>
        <w:rPr/>
        <w:t>……………………………………………………</w:t>
        <w:tab/>
        <w:t>13</w:t>
      </w:r>
    </w:p>
    <w:p>
      <w:pPr>
        <w:pStyle w:val="Heading1"/>
        <w:tabs>
          <w:tab w:val="clear" w:pos="720"/>
          <w:tab w:val="right" w:pos="9360" w:leader="none"/>
        </w:tabs>
        <w:ind w:firstLine="720" w:start="0" w:end="0"/>
        <w:rPr>
          <w:i/>
          <w:i/>
          <w:iCs/>
        </w:rPr>
      </w:pPr>
      <w:r>
        <w:rPr>
          <w:i/>
          <w:iCs/>
        </w:rPr>
      </w:r>
    </w:p>
    <w:p>
      <w:pPr>
        <w:pStyle w:val="Heading1"/>
        <w:tabs>
          <w:tab w:val="clear" w:pos="720"/>
          <w:tab w:val="right" w:pos="9360" w:leader="none"/>
        </w:tabs>
        <w:ind w:firstLine="720" w:start="0" w:end="0"/>
        <w:rPr/>
      </w:pPr>
      <w:r>
        <w:rPr>
          <w:i/>
          <w:iCs/>
        </w:rPr>
        <w:t>Unique Trading Opportunities</w:t>
      </w:r>
      <w:r>
        <w:rPr/>
        <w:t>.……………………………………………………</w:t>
        <w:tab/>
        <w:t>13</w:t>
      </w:r>
    </w:p>
    <w:p>
      <w:pPr>
        <w:pStyle w:val="Heading1"/>
        <w:tabs>
          <w:tab w:val="clear" w:pos="720"/>
          <w:tab w:val="right" w:pos="9360" w:leader="none"/>
        </w:tabs>
        <w:ind w:firstLine="720" w:start="0" w:end="0"/>
        <w:rPr>
          <w:i/>
          <w:i/>
          <w:iCs/>
        </w:rPr>
      </w:pPr>
      <w:r>
        <w:rPr>
          <w:i/>
          <w:iCs/>
        </w:rPr>
      </w:r>
    </w:p>
    <w:p>
      <w:pPr>
        <w:pStyle w:val="Heading1"/>
        <w:tabs>
          <w:tab w:val="clear" w:pos="720"/>
          <w:tab w:val="right" w:pos="9360" w:leader="none"/>
        </w:tabs>
        <w:ind w:firstLine="720" w:start="0" w:end="0"/>
        <w:rPr/>
      </w:pPr>
      <w:r>
        <w:rPr>
          <w:i/>
          <w:iCs/>
        </w:rPr>
        <w:t>Commodity Choice and Contract Design</w:t>
      </w:r>
      <w:r>
        <w:rPr/>
        <w:t>…………………………………………</w:t>
        <w:tab/>
        <w:t>13</w:t>
      </w:r>
    </w:p>
    <w:p>
      <w:pPr>
        <w:pStyle w:val="Heading1"/>
        <w:tabs>
          <w:tab w:val="clear" w:pos="720"/>
          <w:tab w:val="right" w:pos="9360" w:leader="none"/>
        </w:tabs>
        <w:ind w:firstLine="720" w:start="0" w:end="0"/>
        <w:rPr>
          <w:i/>
          <w:i/>
          <w:iCs/>
        </w:rPr>
      </w:pPr>
      <w:r>
        <w:rPr>
          <w:i/>
          <w:iCs/>
        </w:rPr>
      </w:r>
    </w:p>
    <w:p>
      <w:pPr>
        <w:pStyle w:val="Heading1"/>
        <w:tabs>
          <w:tab w:val="clear" w:pos="720"/>
          <w:tab w:val="right" w:pos="9360" w:leader="none"/>
        </w:tabs>
        <w:ind w:hanging="0" w:start="0"/>
        <w:rPr/>
      </w:pPr>
      <w:r>
        <w:rPr/>
        <w:t>An Example: Coal Futures ……….……………………………………………..……….</w:t>
        <w:tab/>
        <w:t>14</w:t>
      </w:r>
    </w:p>
    <w:p>
      <w:pPr>
        <w:pStyle w:val="Heading1"/>
        <w:ind w:hanging="0" w:start="0"/>
        <w:rPr/>
      </w:pPr>
      <w:r>
        <w:rPr/>
      </w:r>
    </w:p>
    <w:p>
      <w:pPr>
        <w:pStyle w:val="Heading8"/>
        <w:rPr/>
      </w:pPr>
      <w:r>
        <w:rPr/>
        <w:t>An Example: Gas Futures ……………………………………………………………….         16</w:t>
      </w:r>
    </w:p>
    <w:p>
      <w:pPr>
        <w:pStyle w:val="Normal"/>
        <w:rPr>
          <w:b/>
          <w:bCs/>
        </w:rPr>
      </w:pPr>
      <w:r>
        <w:rPr>
          <w:b/>
          <w:bCs/>
        </w:rPr>
      </w:r>
    </w:p>
    <w:p>
      <w:pPr>
        <w:pStyle w:val="Normal"/>
        <w:ind w:end="-900"/>
        <w:rPr/>
      </w:pPr>
      <w:r>
        <w:rPr>
          <w:b/>
          <w:bCs/>
        </w:rPr>
        <w:tab/>
      </w:r>
      <w:r>
        <w:rPr>
          <w:b/>
          <w:bCs/>
          <w:i/>
          <w:iCs/>
        </w:rPr>
        <w:t>NYMEX Henry Hub</w:t>
      </w:r>
      <w:r>
        <w:rPr>
          <w:b/>
          <w:bCs/>
        </w:rPr>
        <w:t>……………………………………………………………….         16</w:t>
      </w:r>
    </w:p>
    <w:p>
      <w:pPr>
        <w:pStyle w:val="Normal"/>
        <w:ind w:end="-720"/>
        <w:rPr>
          <w:b/>
          <w:bCs/>
        </w:rPr>
      </w:pPr>
      <w:r>
        <w:rPr>
          <w:b/>
          <w:bCs/>
        </w:rPr>
      </w:r>
    </w:p>
    <w:p>
      <w:pPr>
        <w:pStyle w:val="Normal"/>
        <w:ind w:end="-900"/>
        <w:rPr/>
      </w:pPr>
      <w:r>
        <w:rPr>
          <w:b/>
          <w:bCs/>
        </w:rPr>
        <w:tab/>
      </w:r>
      <w:r>
        <w:rPr>
          <w:b/>
          <w:bCs/>
          <w:i/>
          <w:iCs/>
        </w:rPr>
        <w:t>KCBT Western Gas</w:t>
      </w:r>
      <w:r>
        <w:rPr>
          <w:b/>
          <w:bCs/>
        </w:rPr>
        <w:t xml:space="preserve">………………………………………………………………..         17 </w:t>
      </w:r>
    </w:p>
    <w:p>
      <w:pPr>
        <w:pStyle w:val="Heading1"/>
        <w:tabs>
          <w:tab w:val="clear" w:pos="720"/>
          <w:tab w:val="right" w:pos="9360" w:leader="none"/>
        </w:tabs>
        <w:ind w:hanging="0" w:start="0"/>
        <w:rPr>
          <w:b w:val="false"/>
          <w:bCs w:val="false"/>
        </w:rPr>
      </w:pPr>
      <w:r>
        <w:rPr>
          <w:b w:val="false"/>
          <w:bCs w:val="false"/>
        </w:rPr>
      </w:r>
    </w:p>
    <w:p>
      <w:pPr>
        <w:pStyle w:val="Heading1"/>
        <w:tabs>
          <w:tab w:val="clear" w:pos="720"/>
          <w:tab w:val="right" w:pos="9360" w:leader="none"/>
        </w:tabs>
        <w:ind w:hanging="0" w:start="0"/>
        <w:rPr/>
      </w:pPr>
      <w:r>
        <w:rPr/>
        <w:t>Market Evolution and Trends…...……………………………………………………….</w:t>
        <w:tab/>
        <w:t>18</w:t>
      </w:r>
    </w:p>
    <w:p>
      <w:pPr>
        <w:pStyle w:val="Normal"/>
        <w:rPr/>
      </w:pPr>
      <w:r>
        <w:rPr/>
      </w:r>
    </w:p>
    <w:p>
      <w:pPr>
        <w:pStyle w:val="Heading1"/>
        <w:tabs>
          <w:tab w:val="clear" w:pos="720"/>
          <w:tab w:val="right" w:pos="9360" w:leader="none"/>
        </w:tabs>
        <w:ind w:hanging="0" w:start="0"/>
        <w:rPr/>
      </w:pPr>
      <w:r>
        <w:rPr/>
        <w:t>Futures Contracts…...…………………………………………….………………………</w:t>
        <w:tab/>
        <w:t>19</w:t>
      </w:r>
    </w:p>
    <w:p>
      <w:pPr>
        <w:pStyle w:val="Heading1"/>
        <w:ind w:hanging="0" w:start="0"/>
        <w:rPr/>
      </w:pPr>
      <w:r>
        <w:rPr/>
      </w:r>
    </w:p>
    <w:p>
      <w:pPr>
        <w:pStyle w:val="Heading1"/>
        <w:tabs>
          <w:tab w:val="clear" w:pos="720"/>
          <w:tab w:val="right" w:pos="9360" w:leader="none"/>
        </w:tabs>
        <w:ind w:hanging="0" w:start="0"/>
        <w:rPr/>
      </w:pPr>
      <w:r>
        <w:rPr/>
        <w:t>Conclusion………...……………………………………………….………………………</w:t>
        <w:tab/>
        <w:t>20</w:t>
      </w:r>
    </w:p>
    <w:p>
      <w:pPr>
        <w:pStyle w:val="Heading1"/>
        <w:tabs>
          <w:tab w:val="clear" w:pos="720"/>
          <w:tab w:val="right" w:pos="9360" w:leader="none"/>
        </w:tabs>
        <w:ind w:hanging="0" w:start="0"/>
        <w:rPr/>
      </w:pPr>
      <w:r>
        <w:rPr/>
      </w:r>
    </w:p>
    <w:p>
      <w:pPr>
        <w:pStyle w:val="Heading1"/>
        <w:tabs>
          <w:tab w:val="clear" w:pos="720"/>
          <w:tab w:val="right" w:pos="9360" w:leader="none"/>
        </w:tabs>
        <w:ind w:hanging="0" w:start="0"/>
        <w:rPr/>
      </w:pPr>
      <w:r>
        <w:rPr/>
        <w:t>References………………………………………………………………………………….</w:t>
        <w:tab/>
        <w:t>22</w:t>
      </w:r>
    </w:p>
    <w:p>
      <w:pPr>
        <w:pStyle w:val="Normal"/>
        <w:rPr/>
      </w:pPr>
      <w:r>
        <w:rPr/>
      </w:r>
    </w:p>
    <w:p>
      <w:pPr>
        <w:pStyle w:val="Heading1"/>
        <w:tabs>
          <w:tab w:val="clear" w:pos="720"/>
          <w:tab w:val="right" w:pos="9360" w:leader="none"/>
        </w:tabs>
        <w:ind w:hanging="0" w:start="0"/>
        <w:rPr/>
      </w:pPr>
      <w:r>
        <w:rPr/>
        <w:t>Appendix: Past &amp; Present Energy Futures Contracts…....…….………………………</w:t>
        <w:tab/>
        <w:t>23</w:t>
      </w:r>
    </w:p>
    <w:p>
      <w:pPr>
        <w:pStyle w:val="Normal"/>
        <w:rPr>
          <w:b/>
          <w:bCs/>
        </w:rPr>
      </w:pPr>
      <w:r>
        <w:rPr>
          <w:b/>
          <w:bCs/>
        </w:rPr>
      </w:r>
    </w:p>
    <w:p>
      <w:pPr>
        <w:pStyle w:val="Normal"/>
        <w:rPr>
          <w:b/>
          <w:bCs/>
          <w:i/>
          <w:i/>
          <w:iCs/>
        </w:rPr>
      </w:pPr>
      <w:r>
        <w:rPr>
          <w:i/>
          <w:iCs/>
        </w:rPr>
        <w:t xml:space="preserve">  </w:t>
      </w:r>
    </w:p>
    <w:p>
      <w:pPr>
        <w:pStyle w:val="Heading1"/>
        <w:spacing w:lineRule="auto" w:line="480"/>
        <w:ind w:hanging="0" w:start="0"/>
        <w:rPr/>
      </w:pPr>
      <w:r>
        <w:rPr/>
        <w:t>EXECUTIVE SUMMARY</w:t>
      </w:r>
    </w:p>
    <w:p>
      <w:pPr>
        <w:pStyle w:val="BodyTextIndent2"/>
        <w:spacing w:lineRule="auto" w:line="480"/>
        <w:jc w:val="both"/>
        <w:rPr/>
      </w:pPr>
      <w:r>
        <w:rPr/>
        <w:t>The energy industry is undergoing a process of financial innovation and is witnessing an increasing usage of energy futures and options by market participants. As the number of contracts on the different kinds of energy products grows and volume and open interest numbers rise, risk reduction techniques using futures and options contracts will be progressively more integrated into the everyday operations of the energy industry.</w:t>
      </w:r>
    </w:p>
    <w:p>
      <w:pPr>
        <w:pStyle w:val="BodyTextIndent2"/>
        <w:spacing w:lineRule="auto" w:line="480"/>
        <w:jc w:val="both"/>
        <w:rPr/>
      </w:pPr>
      <w:r>
        <w:rPr/>
        <w:t>This paper conducts a comparative study of the different futures contracts in the US, and analyzes the economic rationale of these contracts. We have attempted to discuss the rationale in the light of factors that made certain contracts successful, and the absence of which resulted in the failure of some contracts: Homogenous, Fungible, Deliverable, Volatile Price, Wide Market Participation, Market Timing, Readily Available Price Information, Contract Flexibility, Payment Method, Regulatory Involvement, Sufficient Deliverable Supplies, Unique Trading Opportunities, and Commodity Selection &amp; Contract Design.</w:t>
      </w:r>
    </w:p>
    <w:p>
      <w:pPr>
        <w:pStyle w:val="BodyTextIndent2"/>
        <w:spacing w:lineRule="auto" w:line="480"/>
        <w:jc w:val="both"/>
        <w:rPr/>
      </w:pPr>
      <w:r>
        <w:rPr/>
        <w:t>Futures contracts for the delivery of heating oil, unleaded gasoline, crude oil, natural gas, gas oil, Brent crude oil, propane, and electricity are trading and have had an important impact on pricing and distribution of these products. Over the years, the participants in the futures markets have risen rapidly and it is expected that the introduction of new futures contracts in the coming years will further broaden the appeal and usefulness of energy futures markets.</w:t>
      </w:r>
    </w:p>
    <w:p>
      <w:pPr>
        <w:pStyle w:val="BodyTextIndent2"/>
        <w:spacing w:lineRule="auto" w:line="480"/>
        <w:jc w:val="both"/>
        <w:rPr/>
      </w:pPr>
      <w:r>
        <w:rPr/>
        <w:t>Thus the scope and importance of futures contracts should continue to grow in the future. However, it is by no means assured that all of those futures contracts will eventually be successful. We have come to understand that the right combination of timing, luck, contract specification, and market conditions is necessary for the success of a particular futures contract.</w:t>
      </w:r>
    </w:p>
    <w:p>
      <w:pPr>
        <w:pStyle w:val="BodyTextIndent2"/>
        <w:spacing w:lineRule="auto" w:line="480"/>
        <w:jc w:val="both"/>
        <w:rPr/>
      </w:pPr>
      <w:r>
        <w:rPr/>
        <w:t>Finally, we have discussed the trend in the energy industry and the continued role of the futures markets and contracts in meeting the evolving needs of this dynamic industry.</w:t>
      </w:r>
      <w:r>
        <w:br w:type="page"/>
      </w:r>
    </w:p>
    <w:p>
      <w:pPr>
        <w:pStyle w:val="Normal"/>
        <w:spacing w:lineRule="auto" w:line="480"/>
        <w:rPr>
          <w:b/>
          <w:bCs/>
        </w:rPr>
      </w:pPr>
      <w:r>
        <w:rPr>
          <w:b/>
          <w:bCs/>
        </w:rPr>
        <w:t>DETERMINANTS OF SUCCESS</w:t>
      </w:r>
    </w:p>
    <w:p>
      <w:pPr>
        <w:pStyle w:val="BodyTextIndent2"/>
        <w:spacing w:lineRule="auto" w:line="480"/>
        <w:jc w:val="both"/>
        <w:rPr/>
      </w:pPr>
      <w:r>
        <w:rPr/>
        <w:t>Our study has led us to understand that for a contract to be successful, it must have the following eleven characteristics:</w:t>
      </w:r>
    </w:p>
    <w:p>
      <w:pPr>
        <w:pStyle w:val="Normal"/>
        <w:numPr>
          <w:ilvl w:val="0"/>
          <w:numId w:val="3"/>
        </w:numPr>
        <w:spacing w:lineRule="auto" w:line="480"/>
        <w:jc w:val="both"/>
        <w:rPr/>
      </w:pPr>
      <w:r>
        <w:rPr>
          <w:b/>
          <w:bCs/>
        </w:rPr>
        <w:t>Homogeneous, Fungible, &amp; Deliverable:</w:t>
      </w:r>
      <w:r>
        <w:rPr/>
        <w:t xml:space="preserve">  Homogeneity is required because the futures must have a standardized grade to trade. Storability is necessary so that the cost of carry relation holds. Deliverability is necessary to provide a physical means for liquidating the contract. The ability to make and take delivery on a futures contract appears to be crucial to the early success of such contracts. As markets mature, delivery occurs less frequently, with deliveries of less than two percent of the contracts in more mature markets.</w:t>
      </w:r>
    </w:p>
    <w:p>
      <w:pPr>
        <w:pStyle w:val="BodyTextIndent2"/>
        <w:spacing w:lineRule="auto" w:line="480"/>
        <w:jc w:val="both"/>
        <w:rPr/>
      </w:pPr>
      <w:r>
        <w:rPr/>
        <w:t>The following table shows the pattern of delivery versus volume on the NYMEX No. 2 heating oil futures contract. Initially deliveries constituted about 5% or 6% of cumulative contract volume. However, this percentage figure has decreased steadily over the years so that currently less than 1% of contract volume is typically delivered.</w:t>
      </w:r>
    </w:p>
    <w:p>
      <w:pPr>
        <w:pStyle w:val="Heading2"/>
        <w:spacing w:lineRule="auto" w:line="48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spacing w:lineRule="auto" w:line="480"/>
        <w:ind w:firstLine="720" w:start="720" w:end="0"/>
        <w:rPr/>
      </w:pPr>
      <w:r>
        <w:rPr/>
        <w:t>NYME – Deliveries on the No. 2 Heating Oil Futures Contract</w:t>
      </w:r>
      <w:r>
        <w:rPr>
          <w:rStyle w:val="FootnoteCharacters"/>
          <w:rStyle w:val="FootnoteReference"/>
        </w:rPr>
        <w:footnoteReference w:id="2"/>
      </w:r>
    </w:p>
    <w:tbl>
      <w:tblPr>
        <w:tblW w:w="8304" w:type="dxa"/>
        <w:jc w:val="center"/>
        <w:tblInd w:w="0" w:type="dxa"/>
        <w:tblLayout w:type="fixed"/>
        <w:tblCellMar>
          <w:top w:w="0" w:type="dxa"/>
          <w:start w:w="108" w:type="dxa"/>
          <w:bottom w:w="0" w:type="dxa"/>
          <w:end w:w="108" w:type="dxa"/>
        </w:tblCellMar>
      </w:tblPr>
      <w:tblGrid>
        <w:gridCol w:w="803"/>
        <w:gridCol w:w="2129"/>
        <w:gridCol w:w="2756"/>
        <w:gridCol w:w="2616"/>
      </w:tblGrid>
      <w:tr>
        <w:trPr/>
        <w:tc>
          <w:tcPr>
            <w:tcW w:w="803" w:type="dxa"/>
            <w:tcBorders>
              <w:top w:val="single" w:sz="4" w:space="0" w:color="000000"/>
              <w:start w:val="single" w:sz="4" w:space="0" w:color="000000"/>
              <w:bottom w:val="single" w:sz="4" w:space="0" w:color="000000"/>
              <w:end w:val="single" w:sz="4" w:space="0" w:color="000000"/>
            </w:tcBorders>
            <w:shd w:fill="C0C0C0" w:val="clear"/>
          </w:tcPr>
          <w:p>
            <w:pPr>
              <w:pStyle w:val="Normal"/>
              <w:spacing w:lineRule="auto" w:line="480"/>
              <w:jc w:val="center"/>
              <w:rPr>
                <w:b/>
                <w:bCs/>
              </w:rPr>
            </w:pPr>
            <w:r>
              <w:rPr>
                <w:b/>
                <w:bCs/>
              </w:rPr>
              <w:t>Year</w:t>
            </w:r>
          </w:p>
        </w:tc>
        <w:tc>
          <w:tcPr>
            <w:tcW w:w="2129" w:type="dxa"/>
            <w:tcBorders>
              <w:top w:val="single" w:sz="4" w:space="0" w:color="000000"/>
              <w:start w:val="single" w:sz="4" w:space="0" w:color="000000"/>
              <w:bottom w:val="single" w:sz="4" w:space="0" w:color="000000"/>
              <w:end w:val="single" w:sz="4" w:space="0" w:color="000000"/>
            </w:tcBorders>
            <w:shd w:fill="C0C0C0" w:val="clear"/>
          </w:tcPr>
          <w:p>
            <w:pPr>
              <w:pStyle w:val="Normal"/>
              <w:spacing w:lineRule="auto" w:line="480"/>
              <w:jc w:val="center"/>
              <w:rPr>
                <w:b/>
                <w:bCs/>
              </w:rPr>
            </w:pPr>
            <w:r>
              <w:rPr>
                <w:b/>
                <w:bCs/>
              </w:rPr>
              <w:t>No. Of Deliveries</w:t>
            </w:r>
          </w:p>
        </w:tc>
        <w:tc>
          <w:tcPr>
            <w:tcW w:w="2756" w:type="dxa"/>
            <w:tcBorders>
              <w:top w:val="single" w:sz="4" w:space="0" w:color="000000"/>
              <w:start w:val="single" w:sz="4" w:space="0" w:color="000000"/>
              <w:bottom w:val="single" w:sz="4" w:space="0" w:color="000000"/>
              <w:end w:val="single" w:sz="4" w:space="0" w:color="000000"/>
            </w:tcBorders>
            <w:shd w:fill="C0C0C0" w:val="clear"/>
          </w:tcPr>
          <w:p>
            <w:pPr>
              <w:pStyle w:val="Normal"/>
              <w:spacing w:lineRule="auto" w:line="480"/>
              <w:jc w:val="center"/>
              <w:rPr>
                <w:b/>
                <w:bCs/>
              </w:rPr>
            </w:pPr>
            <w:r>
              <w:rPr>
                <w:b/>
                <w:bCs/>
              </w:rPr>
              <w:t>Cumulative Futures Vol.</w:t>
            </w:r>
          </w:p>
        </w:tc>
        <w:tc>
          <w:tcPr>
            <w:tcW w:w="2616" w:type="dxa"/>
            <w:tcBorders>
              <w:top w:val="single" w:sz="4" w:space="0" w:color="000000"/>
              <w:start w:val="single" w:sz="4" w:space="0" w:color="000000"/>
              <w:bottom w:val="single" w:sz="4" w:space="0" w:color="000000"/>
              <w:end w:val="single" w:sz="4" w:space="0" w:color="000000"/>
            </w:tcBorders>
            <w:shd w:fill="C0C0C0" w:val="clear"/>
          </w:tcPr>
          <w:p>
            <w:pPr>
              <w:pStyle w:val="Normal"/>
              <w:spacing w:lineRule="auto" w:line="480"/>
              <w:jc w:val="center"/>
              <w:rPr>
                <w:b/>
                <w:bCs/>
              </w:rPr>
            </w:pPr>
            <w:r>
              <w:rPr>
                <w:b/>
                <w:bCs/>
              </w:rPr>
              <w:t>Deliveries as % of Vol.</w:t>
            </w:r>
          </w:p>
        </w:tc>
      </w:tr>
      <w:tr>
        <w:trPr/>
        <w:tc>
          <w:tcPr>
            <w:tcW w:w="803"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1979</w:t>
            </w:r>
          </w:p>
        </w:tc>
        <w:tc>
          <w:tcPr>
            <w:tcW w:w="2129"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810</w:t>
            </w:r>
          </w:p>
        </w:tc>
        <w:tc>
          <w:tcPr>
            <w:tcW w:w="275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11,787</w:t>
            </w:r>
          </w:p>
        </w:tc>
        <w:tc>
          <w:tcPr>
            <w:tcW w:w="261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6.87</w:t>
            </w:r>
          </w:p>
        </w:tc>
      </w:tr>
      <w:tr>
        <w:trPr/>
        <w:tc>
          <w:tcPr>
            <w:tcW w:w="803"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1980</w:t>
            </w:r>
          </w:p>
        </w:tc>
        <w:tc>
          <w:tcPr>
            <w:tcW w:w="2129"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4,779</w:t>
            </w:r>
          </w:p>
        </w:tc>
        <w:tc>
          <w:tcPr>
            <w:tcW w:w="275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115,136</w:t>
            </w:r>
          </w:p>
        </w:tc>
        <w:tc>
          <w:tcPr>
            <w:tcW w:w="261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4.17</w:t>
            </w:r>
          </w:p>
        </w:tc>
      </w:tr>
      <w:tr>
        <w:trPr/>
        <w:tc>
          <w:tcPr>
            <w:tcW w:w="803"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1981</w:t>
            </w:r>
          </w:p>
        </w:tc>
        <w:tc>
          <w:tcPr>
            <w:tcW w:w="2129"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15,577</w:t>
            </w:r>
          </w:p>
        </w:tc>
        <w:tc>
          <w:tcPr>
            <w:tcW w:w="275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811,448</w:t>
            </w:r>
          </w:p>
        </w:tc>
        <w:tc>
          <w:tcPr>
            <w:tcW w:w="261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1.92</w:t>
            </w:r>
          </w:p>
        </w:tc>
      </w:tr>
      <w:tr>
        <w:trPr/>
        <w:tc>
          <w:tcPr>
            <w:tcW w:w="803"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1982</w:t>
            </w:r>
          </w:p>
        </w:tc>
        <w:tc>
          <w:tcPr>
            <w:tcW w:w="2129"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17,009</w:t>
            </w:r>
          </w:p>
        </w:tc>
        <w:tc>
          <w:tcPr>
            <w:tcW w:w="275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1,672,179</w:t>
            </w:r>
          </w:p>
        </w:tc>
        <w:tc>
          <w:tcPr>
            <w:tcW w:w="261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1.02</w:t>
            </w:r>
          </w:p>
        </w:tc>
      </w:tr>
      <w:tr>
        <w:trPr/>
        <w:tc>
          <w:tcPr>
            <w:tcW w:w="803"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1983</w:t>
            </w:r>
          </w:p>
        </w:tc>
        <w:tc>
          <w:tcPr>
            <w:tcW w:w="2129"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9,870</w:t>
            </w:r>
          </w:p>
        </w:tc>
        <w:tc>
          <w:tcPr>
            <w:tcW w:w="275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1,844,250</w:t>
            </w:r>
          </w:p>
        </w:tc>
        <w:tc>
          <w:tcPr>
            <w:tcW w:w="261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0.53</w:t>
            </w:r>
          </w:p>
        </w:tc>
      </w:tr>
      <w:tr>
        <w:trPr/>
        <w:tc>
          <w:tcPr>
            <w:tcW w:w="803"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1984</w:t>
            </w:r>
          </w:p>
        </w:tc>
        <w:tc>
          <w:tcPr>
            <w:tcW w:w="2129"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14,061</w:t>
            </w:r>
          </w:p>
        </w:tc>
        <w:tc>
          <w:tcPr>
            <w:tcW w:w="275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2,117,019</w:t>
            </w:r>
          </w:p>
        </w:tc>
        <w:tc>
          <w:tcPr>
            <w:tcW w:w="261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0.61</w:t>
            </w:r>
          </w:p>
        </w:tc>
      </w:tr>
      <w:tr>
        <w:trPr/>
        <w:tc>
          <w:tcPr>
            <w:tcW w:w="803"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1985</w:t>
            </w:r>
          </w:p>
        </w:tc>
        <w:tc>
          <w:tcPr>
            <w:tcW w:w="2129"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11,020</w:t>
            </w:r>
          </w:p>
        </w:tc>
        <w:tc>
          <w:tcPr>
            <w:tcW w:w="275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2,069,901</w:t>
            </w:r>
          </w:p>
        </w:tc>
        <w:tc>
          <w:tcPr>
            <w:tcW w:w="261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0.53</w:t>
            </w:r>
          </w:p>
        </w:tc>
      </w:tr>
      <w:tr>
        <w:trPr/>
        <w:tc>
          <w:tcPr>
            <w:tcW w:w="803"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1986</w:t>
            </w:r>
          </w:p>
        </w:tc>
        <w:tc>
          <w:tcPr>
            <w:tcW w:w="2129"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12,239</w:t>
            </w:r>
          </w:p>
        </w:tc>
        <w:tc>
          <w:tcPr>
            <w:tcW w:w="275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3,034,981</w:t>
            </w:r>
          </w:p>
        </w:tc>
        <w:tc>
          <w:tcPr>
            <w:tcW w:w="261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0.40</w:t>
            </w:r>
          </w:p>
        </w:tc>
      </w:tr>
      <w:tr>
        <w:trPr/>
        <w:tc>
          <w:tcPr>
            <w:tcW w:w="803"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1987</w:t>
            </w:r>
          </w:p>
        </w:tc>
        <w:tc>
          <w:tcPr>
            <w:tcW w:w="2129"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10,440</w:t>
            </w:r>
          </w:p>
        </w:tc>
        <w:tc>
          <w:tcPr>
            <w:tcW w:w="275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4,021,241</w:t>
            </w:r>
          </w:p>
        </w:tc>
        <w:tc>
          <w:tcPr>
            <w:tcW w:w="261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0.26</w:t>
            </w:r>
          </w:p>
        </w:tc>
      </w:tr>
      <w:tr>
        <w:trPr/>
        <w:tc>
          <w:tcPr>
            <w:tcW w:w="803"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1988</w:t>
            </w:r>
          </w:p>
        </w:tc>
        <w:tc>
          <w:tcPr>
            <w:tcW w:w="2129"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12.014</w:t>
            </w:r>
          </w:p>
        </w:tc>
        <w:tc>
          <w:tcPr>
            <w:tcW w:w="275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4,923,343</w:t>
            </w:r>
          </w:p>
        </w:tc>
        <w:tc>
          <w:tcPr>
            <w:tcW w:w="261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0.24</w:t>
            </w:r>
          </w:p>
        </w:tc>
      </w:tr>
      <w:tr>
        <w:trPr/>
        <w:tc>
          <w:tcPr>
            <w:tcW w:w="803"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1989</w:t>
            </w:r>
          </w:p>
        </w:tc>
        <w:tc>
          <w:tcPr>
            <w:tcW w:w="2129"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11,666</w:t>
            </w:r>
          </w:p>
        </w:tc>
        <w:tc>
          <w:tcPr>
            <w:tcW w:w="275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5,243,235</w:t>
            </w:r>
          </w:p>
        </w:tc>
        <w:tc>
          <w:tcPr>
            <w:tcW w:w="261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0.22</w:t>
            </w:r>
          </w:p>
        </w:tc>
      </w:tr>
      <w:tr>
        <w:trPr/>
        <w:tc>
          <w:tcPr>
            <w:tcW w:w="803"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1990</w:t>
            </w:r>
          </w:p>
        </w:tc>
        <w:tc>
          <w:tcPr>
            <w:tcW w:w="2129"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11,105</w:t>
            </w:r>
          </w:p>
        </w:tc>
        <w:tc>
          <w:tcPr>
            <w:tcW w:w="275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6,692,951</w:t>
            </w:r>
          </w:p>
        </w:tc>
        <w:tc>
          <w:tcPr>
            <w:tcW w:w="261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0.17</w:t>
            </w:r>
          </w:p>
        </w:tc>
      </w:tr>
      <w:tr>
        <w:trPr/>
        <w:tc>
          <w:tcPr>
            <w:tcW w:w="803"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1991</w:t>
            </w:r>
          </w:p>
        </w:tc>
        <w:tc>
          <w:tcPr>
            <w:tcW w:w="2129"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11,789</w:t>
            </w:r>
          </w:p>
        </w:tc>
        <w:tc>
          <w:tcPr>
            <w:tcW w:w="275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6,091,152</w:t>
            </w:r>
          </w:p>
        </w:tc>
        <w:tc>
          <w:tcPr>
            <w:tcW w:w="261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0.19</w:t>
            </w:r>
          </w:p>
        </w:tc>
      </w:tr>
      <w:tr>
        <w:trPr/>
        <w:tc>
          <w:tcPr>
            <w:tcW w:w="803"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1992</w:t>
            </w:r>
          </w:p>
        </w:tc>
        <w:tc>
          <w:tcPr>
            <w:tcW w:w="2129"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17,082</w:t>
            </w:r>
          </w:p>
        </w:tc>
        <w:tc>
          <w:tcPr>
            <w:tcW w:w="275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7,800,442</w:t>
            </w:r>
          </w:p>
        </w:tc>
        <w:tc>
          <w:tcPr>
            <w:tcW w:w="261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0.22</w:t>
            </w:r>
          </w:p>
        </w:tc>
      </w:tr>
      <w:tr>
        <w:trPr/>
        <w:tc>
          <w:tcPr>
            <w:tcW w:w="803"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1993</w:t>
            </w:r>
          </w:p>
        </w:tc>
        <w:tc>
          <w:tcPr>
            <w:tcW w:w="2129"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16,618</w:t>
            </w:r>
          </w:p>
        </w:tc>
        <w:tc>
          <w:tcPr>
            <w:tcW w:w="275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8,439,375</w:t>
            </w:r>
          </w:p>
        </w:tc>
        <w:tc>
          <w:tcPr>
            <w:tcW w:w="261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0.20</w:t>
            </w:r>
          </w:p>
        </w:tc>
      </w:tr>
      <w:tr>
        <w:trPr/>
        <w:tc>
          <w:tcPr>
            <w:tcW w:w="803"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1994</w:t>
            </w:r>
          </w:p>
        </w:tc>
        <w:tc>
          <w:tcPr>
            <w:tcW w:w="2129"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15,218</w:t>
            </w:r>
          </w:p>
        </w:tc>
        <w:tc>
          <w:tcPr>
            <w:tcW w:w="275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9,183,276</w:t>
            </w:r>
          </w:p>
        </w:tc>
        <w:tc>
          <w:tcPr>
            <w:tcW w:w="261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0.17</w:t>
            </w:r>
          </w:p>
        </w:tc>
      </w:tr>
      <w:tr>
        <w:trPr/>
        <w:tc>
          <w:tcPr>
            <w:tcW w:w="803"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1995</w:t>
            </w:r>
          </w:p>
        </w:tc>
        <w:tc>
          <w:tcPr>
            <w:tcW w:w="2129"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14,948</w:t>
            </w:r>
          </w:p>
        </w:tc>
        <w:tc>
          <w:tcPr>
            <w:tcW w:w="275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8,168,203</w:t>
            </w:r>
          </w:p>
        </w:tc>
        <w:tc>
          <w:tcPr>
            <w:tcW w:w="261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0.18</w:t>
            </w:r>
          </w:p>
        </w:tc>
      </w:tr>
      <w:tr>
        <w:trPr/>
        <w:tc>
          <w:tcPr>
            <w:tcW w:w="803"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1996</w:t>
            </w:r>
          </w:p>
        </w:tc>
        <w:tc>
          <w:tcPr>
            <w:tcW w:w="2129"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22,141</w:t>
            </w:r>
          </w:p>
        </w:tc>
        <w:tc>
          <w:tcPr>
            <w:tcW w:w="275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8,503,579</w:t>
            </w:r>
          </w:p>
        </w:tc>
        <w:tc>
          <w:tcPr>
            <w:tcW w:w="261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0.26</w:t>
            </w:r>
          </w:p>
        </w:tc>
      </w:tr>
      <w:tr>
        <w:trPr/>
        <w:tc>
          <w:tcPr>
            <w:tcW w:w="803"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1997</w:t>
            </w:r>
          </w:p>
        </w:tc>
        <w:tc>
          <w:tcPr>
            <w:tcW w:w="2129"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29,816</w:t>
            </w:r>
          </w:p>
        </w:tc>
        <w:tc>
          <w:tcPr>
            <w:tcW w:w="275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8,668,074</w:t>
            </w:r>
          </w:p>
        </w:tc>
        <w:tc>
          <w:tcPr>
            <w:tcW w:w="261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0.34</w:t>
            </w:r>
          </w:p>
        </w:tc>
      </w:tr>
      <w:tr>
        <w:trPr/>
        <w:tc>
          <w:tcPr>
            <w:tcW w:w="803"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1998</w:t>
            </w:r>
          </w:p>
        </w:tc>
        <w:tc>
          <w:tcPr>
            <w:tcW w:w="2129"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30,592</w:t>
            </w:r>
          </w:p>
        </w:tc>
        <w:tc>
          <w:tcPr>
            <w:tcW w:w="275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8,518,727</w:t>
            </w:r>
          </w:p>
        </w:tc>
        <w:tc>
          <w:tcPr>
            <w:tcW w:w="261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0.36</w:t>
            </w:r>
          </w:p>
        </w:tc>
      </w:tr>
    </w:tbl>
    <w:p>
      <w:pPr>
        <w:pStyle w:val="Normal"/>
        <w:numPr>
          <w:ilvl w:val="0"/>
          <w:numId w:val="3"/>
        </w:numPr>
        <w:spacing w:lineRule="auto" w:line="480"/>
        <w:jc w:val="both"/>
        <w:rPr/>
      </w:pPr>
      <w:r>
        <w:rPr>
          <w:b/>
          <w:bCs/>
        </w:rPr>
        <w:t>Presence of Price Volatility:</w:t>
      </w:r>
      <w:r>
        <w:rPr/>
        <w:t xml:space="preserve">  Without price uncertainty, there would be no demand for hedging or speculation. For example, one of the significant factors in the current success of energy futures contracts is the price volatility associated with the OPEC cartel and the resultant shortages and surpluses. The increased price volatility has attracted increased speculative interest in energy futures markets.</w:t>
      </w:r>
    </w:p>
    <w:p>
      <w:pPr>
        <w:pStyle w:val="Normal"/>
        <w:spacing w:lineRule="auto" w:line="480"/>
        <w:ind w:start="360" w:end="0"/>
        <w:jc w:val="both"/>
        <w:rPr/>
      </w:pPr>
      <w:r>
        <w:rPr/>
        <w:t>On November 14, 1986, the eighth anniversary of its heating oil futures contract, NYMEX began trading its first options contracts on crude oil futures</w:t>
      </w:r>
      <w:r>
        <w:rPr>
          <w:rStyle w:val="FootnoteCharacters"/>
          <w:rStyle w:val="FootnoteReference"/>
        </w:rPr>
        <w:footnoteReference w:id="3"/>
      </w:r>
      <w:r>
        <w:rPr/>
        <w:t xml:space="preserve">. Because of the enormous volatility in the market, the options contract was very popular with both the petroleum and futures industries, and, in its first full year, more than three million contracts were traded. Heating oil options were introduced a year later, followed by unleaded gasoline options in 1989 and natural gas options in 1992. </w:t>
      </w:r>
    </w:p>
    <w:p>
      <w:pPr>
        <w:pStyle w:val="Normal"/>
        <w:spacing w:lineRule="auto" w:line="480"/>
        <w:ind w:start="360" w:end="0"/>
        <w:rPr/>
      </w:pPr>
      <w:r>
        <w:rPr/>
        <w:t>The following two charts demonstrate the price volatility in the Palo Verde Electricity and NYMEX Natural Gas contracts</w:t>
      </w:r>
      <w:r>
        <w:rPr>
          <w:rStyle w:val="FootnoteCharacters"/>
          <w:rStyle w:val="FootnoteReference"/>
        </w:rPr>
        <w:footnoteReference w:id="4"/>
      </w:r>
      <w:r>
        <w:rPr/>
        <w:t>.</w:t>
      </w:r>
    </w:p>
    <w:p>
      <w:pPr>
        <w:pStyle w:val="Normal"/>
        <w:spacing w:lineRule="auto" w:line="480"/>
        <w:ind w:start="360" w:end="0"/>
        <w:rPr/>
      </w:pPr>
      <w:r>
        <w:rPr/>
      </w:r>
    </w:p>
    <w:p>
      <w:pPr>
        <w:pStyle w:val="Normal"/>
        <w:spacing w:lineRule="auto" w:line="480"/>
        <w:ind w:start="360" w:end="0"/>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1">
                <wp:simplePos x="0" y="0"/>
                <wp:positionH relativeFrom="column">
                  <wp:posOffset>128905</wp:posOffset>
                </wp:positionH>
                <wp:positionV relativeFrom="paragraph">
                  <wp:posOffset>34290</wp:posOffset>
                </wp:positionV>
                <wp:extent cx="2866390" cy="1951355"/>
                <wp:effectExtent l="0" t="0" r="0" b="0"/>
                <wp:wrapNone/>
                <wp:docPr id="2" name="Frame2"/>
                <a:graphic xmlns:a="http://schemas.openxmlformats.org/drawingml/2006/main">
                  <a:graphicData uri="http://schemas.microsoft.com/office/word/2010/wordprocessingShape">
                    <wps:wsp>
                      <wps:cNvSpPr txBox="1"/>
                      <wps:spPr>
                        <a:xfrm>
                          <a:off x="0" y="0"/>
                          <a:ext cx="2866390" cy="1951355"/>
                        </a:xfrm>
                        <a:prstGeom prst="rect"/>
                        <a:solidFill>
                          <a:srgbClr val="FFFFFF"/>
                        </a:solidFill>
                        <a:ln w="9525">
                          <a:solidFill>
                            <a:srgbClr val="000000"/>
                          </a:solidFill>
                        </a:ln>
                      </wps:spPr>
                      <wps:txbx>
                        <w:txbxContent>
                          <w:p>
                            <w:pPr>
                              <w:pStyle w:val="Normal"/>
                              <w:rPr/>
                            </w:pPr>
                            <w:r>
                              <w:rPr/>
                              <w:drawing>
                                <wp:inline distT="0" distB="0" distL="0" distR="0">
                                  <wp:extent cx="5379720" cy="4400550"/>
                                  <wp:effectExtent l="0" t="0" r="0" b="0"/>
                                  <wp:docPr id="3" name="webchar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bchart" descr="" title=""/>
                                          <pic:cNvPicPr>
                                            <a:picLocks noChangeAspect="1" noChangeArrowheads="1"/>
                                          </pic:cNvPicPr>
                                        </pic:nvPicPr>
                                        <pic:blipFill>
                                          <a:blip r:embed="rId4"/>
                                          <a:srcRect l="-5" t="-6" r="-5" b="-6"/>
                                          <a:stretch>
                                            <a:fillRect/>
                                          </a:stretch>
                                        </pic:blipFill>
                                        <pic:spPr bwMode="auto">
                                          <a:xfrm>
                                            <a:off x="0" y="0"/>
                                            <a:ext cx="5379720" cy="4400550"/>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225.7pt;height:153.65pt;mso-wrap-distance-left:9.05pt;mso-wrap-distance-right:9.05pt;mso-wrap-distance-top:0pt;mso-wrap-distance-bottom:0pt;margin-top:2.7pt;mso-position-vertical-relative:text;margin-left:10.15pt;mso-position-horizontal-relative:text">
                <v:textbox>
                  <w:txbxContent>
                    <w:p>
                      <w:pPr>
                        <w:pStyle w:val="Normal"/>
                        <w:rPr/>
                      </w:pPr>
                      <w:r>
                        <w:rPr/>
                        <w:drawing>
                          <wp:inline distT="0" distB="0" distL="0" distR="0">
                            <wp:extent cx="5379720" cy="4400550"/>
                            <wp:effectExtent l="0" t="0" r="0" b="0"/>
                            <wp:docPr id="4" name="webchar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bchart" descr="" title=""/>
                                    <pic:cNvPicPr>
                                      <a:picLocks noChangeAspect="1" noChangeArrowheads="1"/>
                                    </pic:cNvPicPr>
                                  </pic:nvPicPr>
                                  <pic:blipFill>
                                    <a:blip r:embed="rId5"/>
                                    <a:srcRect l="-5" t="-6" r="-5" b="-6"/>
                                    <a:stretch>
                                      <a:fillRect/>
                                    </a:stretch>
                                  </pic:blipFill>
                                  <pic:spPr bwMode="auto">
                                    <a:xfrm>
                                      <a:off x="0" y="0"/>
                                      <a:ext cx="5379720" cy="4400550"/>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25">
                <wp:simplePos x="0" y="0"/>
                <wp:positionH relativeFrom="column">
                  <wp:posOffset>3100705</wp:posOffset>
                </wp:positionH>
                <wp:positionV relativeFrom="paragraph">
                  <wp:posOffset>34925</wp:posOffset>
                </wp:positionV>
                <wp:extent cx="2752090" cy="1951355"/>
                <wp:effectExtent l="0" t="0" r="0" b="0"/>
                <wp:wrapNone/>
                <wp:docPr id="5" name="Frame1"/>
                <a:graphic xmlns:a="http://schemas.openxmlformats.org/drawingml/2006/main">
                  <a:graphicData uri="http://schemas.microsoft.com/office/word/2010/wordprocessingShape">
                    <wps:wsp>
                      <wps:cNvSpPr txBox="1"/>
                      <wps:spPr>
                        <a:xfrm>
                          <a:off x="0" y="0"/>
                          <a:ext cx="2752090" cy="1951355"/>
                        </a:xfrm>
                        <a:prstGeom prst="rect"/>
                        <a:solidFill>
                          <a:srgbClr val="FFFFFF"/>
                        </a:solidFill>
                        <a:ln w="9525">
                          <a:solidFill>
                            <a:srgbClr val="000000"/>
                          </a:solidFill>
                        </a:ln>
                      </wps:spPr>
                      <wps:txbx>
                        <w:txbxContent>
                          <w:p>
                            <w:pPr>
                              <w:pStyle w:val="Normal"/>
                              <w:rPr/>
                            </w:pPr>
                            <w:r>
                              <w:rPr/>
                              <w:drawing>
                                <wp:inline distT="0" distB="0" distL="0" distR="0">
                                  <wp:extent cx="5379720" cy="4743450"/>
                                  <wp:effectExtent l="0" t="0" r="0" b="0"/>
                                  <wp:docPr id="6" name="webchart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ebchart2" descr="" title=""/>
                                          <pic:cNvPicPr>
                                            <a:picLocks noChangeAspect="1" noChangeArrowheads="1"/>
                                          </pic:cNvPicPr>
                                        </pic:nvPicPr>
                                        <pic:blipFill>
                                          <a:blip r:embed="rId6"/>
                                          <a:srcRect l="-5" t="-6" r="-5" b="-6"/>
                                          <a:stretch>
                                            <a:fillRect/>
                                          </a:stretch>
                                        </pic:blipFill>
                                        <pic:spPr bwMode="auto">
                                          <a:xfrm>
                                            <a:off x="0" y="0"/>
                                            <a:ext cx="5379720" cy="4743450"/>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216.7pt;height:153.65pt;mso-wrap-distance-left:9.05pt;mso-wrap-distance-right:9.05pt;mso-wrap-distance-top:0pt;mso-wrap-distance-bottom:0pt;margin-top:2.75pt;mso-position-vertical-relative:text;margin-left:244.15pt;mso-position-horizontal-relative:text">
                <v:textbox>
                  <w:txbxContent>
                    <w:p>
                      <w:pPr>
                        <w:pStyle w:val="Normal"/>
                        <w:rPr/>
                      </w:pPr>
                      <w:r>
                        <w:rPr/>
                        <w:drawing>
                          <wp:inline distT="0" distB="0" distL="0" distR="0">
                            <wp:extent cx="5379720" cy="4743450"/>
                            <wp:effectExtent l="0" t="0" r="0" b="0"/>
                            <wp:docPr id="7" name="webchart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ebchart2" descr="" title=""/>
                                    <pic:cNvPicPr>
                                      <a:picLocks noChangeAspect="1" noChangeArrowheads="1"/>
                                    </pic:cNvPicPr>
                                  </pic:nvPicPr>
                                  <pic:blipFill>
                                    <a:blip r:embed="rId7"/>
                                    <a:srcRect l="-5" t="-6" r="-5" b="-6"/>
                                    <a:stretch>
                                      <a:fillRect/>
                                    </a:stretch>
                                  </pic:blipFill>
                                  <pic:spPr bwMode="auto">
                                    <a:xfrm>
                                      <a:off x="0" y="0"/>
                                      <a:ext cx="5379720" cy="4743450"/>
                                    </a:xfrm>
                                    <a:prstGeom prst="rect">
                                      <a:avLst/>
                                    </a:prstGeom>
                                    <a:noFill/>
                                  </pic:spPr>
                                </pic:pic>
                              </a:graphicData>
                            </a:graphic>
                          </wp:inline>
                        </w:drawing>
                      </w:r>
                    </w:p>
                  </w:txbxContent>
                </v:textbox>
                <w10:wrap type="none"/>
              </v:rect>
            </w:pict>
          </mc:Fallback>
        </mc:AlternateContent>
      </w:r>
    </w:p>
    <w:p>
      <w:pPr>
        <w:pStyle w:val="Normal"/>
        <w:spacing w:lineRule="auto" w:line="480"/>
        <w:ind w:start="360" w:end="0"/>
        <w:rPr/>
      </w:pPr>
      <w:r>
        <w:rPr/>
      </w:r>
    </w:p>
    <w:p>
      <w:pPr>
        <w:pStyle w:val="Normal"/>
        <w:spacing w:lineRule="auto" w:line="480"/>
        <w:ind w:start="360" w:end="0"/>
        <w:rPr/>
      </w:pPr>
      <w:r>
        <w:rPr/>
      </w:r>
    </w:p>
    <w:p>
      <w:pPr>
        <w:pStyle w:val="Normal"/>
        <w:spacing w:lineRule="auto" w:line="480"/>
        <w:ind w:start="360" w:end="0"/>
        <w:rPr/>
      </w:pPr>
      <w:r>
        <w:rPr/>
      </w:r>
    </w:p>
    <w:p>
      <w:pPr>
        <w:pStyle w:val="Normal"/>
        <w:spacing w:lineRule="auto" w:line="480"/>
        <w:ind w:start="360" w:end="0"/>
        <w:rPr/>
      </w:pPr>
      <w:r>
        <w:rPr/>
      </w:r>
    </w:p>
    <w:p>
      <w:pPr>
        <w:pStyle w:val="Normal"/>
        <w:spacing w:lineRule="auto" w:line="480"/>
        <w:ind w:start="360" w:end="0"/>
        <w:rPr/>
      </w:pPr>
      <w:r>
        <w:rPr/>
      </w:r>
    </w:p>
    <w:p>
      <w:pPr>
        <w:pStyle w:val="Normal"/>
        <w:spacing w:lineRule="auto" w:line="480"/>
        <w:ind w:start="360" w:end="0"/>
        <w:rPr/>
      </w:pPr>
      <w:r>
        <w:rPr/>
      </w:r>
    </w:p>
    <w:p>
      <w:pPr>
        <w:pStyle w:val="Normal"/>
        <w:numPr>
          <w:ilvl w:val="0"/>
          <w:numId w:val="3"/>
        </w:numPr>
        <w:spacing w:lineRule="auto" w:line="480"/>
        <w:jc w:val="both"/>
        <w:rPr/>
      </w:pPr>
      <w:r>
        <w:rPr>
          <w:b/>
          <w:bCs/>
        </w:rPr>
        <w:t xml:space="preserve">Wide Market Participation:  </w:t>
      </w:r>
      <w:r>
        <w:rPr/>
        <w:t>Many potential traders are crucial so that no one trader can unduly influence (or manipulate) the market. In general, a futures market is likely to be more successful when there are many players present in a competitive market.  These market participants include hedgers, speculators, market makers, and arbitrageurs.</w:t>
      </w:r>
    </w:p>
    <w:p>
      <w:pPr>
        <w:pStyle w:val="Normal"/>
        <w:numPr>
          <w:ilvl w:val="0"/>
          <w:numId w:val="4"/>
        </w:numPr>
        <w:spacing w:lineRule="auto" w:line="480"/>
        <w:jc w:val="both"/>
        <w:rPr/>
      </w:pPr>
      <w:r>
        <w:rPr/>
        <w:t>The rationale for the existence of futures markets is that they provide a vehicle for the transfer of price risk from hedgers to speculators. The primary motivation of hedgers is to hedge financial risk. For a futures contract to be successful there must be a large number of firms which can potentially use the futures contracts in their operations.</w:t>
      </w:r>
    </w:p>
    <w:p>
      <w:pPr>
        <w:pStyle w:val="Normal"/>
        <w:numPr>
          <w:ilvl w:val="0"/>
          <w:numId w:val="4"/>
        </w:numPr>
        <w:spacing w:lineRule="auto" w:line="480"/>
        <w:jc w:val="both"/>
        <w:rPr/>
      </w:pPr>
      <w:r>
        <w:rPr/>
        <w:t xml:space="preserve">Speculators analyze markets and trade financial positions that are profitable if their analysis is correct.  Speculators may prefer trading derivatives (versus the spot) because derivatives offer greater leverage and, frequently, lower transaction costs. </w:t>
      </w:r>
    </w:p>
    <w:p>
      <w:pPr>
        <w:pStyle w:val="Normal"/>
        <w:numPr>
          <w:ilvl w:val="0"/>
          <w:numId w:val="4"/>
        </w:numPr>
        <w:spacing w:lineRule="auto" w:line="480"/>
        <w:jc w:val="both"/>
        <w:rPr/>
      </w:pPr>
      <w:r>
        <w:rPr/>
        <w:t xml:space="preserve">Market makers provide liquidity to the market and constantly quote prices at which they are willing to buy or sell.  This constant quotation of prices allows for price transparency in the market.  </w:t>
      </w:r>
    </w:p>
    <w:p>
      <w:pPr>
        <w:pStyle w:val="Normal"/>
        <w:numPr>
          <w:ilvl w:val="0"/>
          <w:numId w:val="2"/>
        </w:numPr>
        <w:spacing w:lineRule="auto" w:line="480"/>
        <w:jc w:val="both"/>
        <w:rPr/>
      </w:pPr>
      <w:r>
        <w:rPr/>
        <w:t>Arbitrageurs exploit mispricings between the derivative and spot market or between derivative markets.</w:t>
      </w:r>
    </w:p>
    <w:p>
      <w:pPr>
        <w:pStyle w:val="BodyTextIndent3"/>
        <w:rPr/>
      </w:pPr>
      <w:r>
        <w:rPr/>
        <w:t>The existence of a large number of buyers and sellers in futures markets assures an adequate flow of buy and sell orders on the floor of the exchange and an efficient and competitive futures market pricing mechanism.</w:t>
      </w:r>
    </w:p>
    <w:p>
      <w:pPr>
        <w:pStyle w:val="BodyTextIndent3"/>
        <w:rPr/>
      </w:pPr>
      <w:r>
        <w:rPr/>
        <w:t>Prior to the introduction of the No. 2 heating oil futures contract, heating oil prices were tied to the posted price of the major oil companies and the spot market consisted of only the 100 or so of the largest independent firms connected by telephone and telex. Smaller firms had no access to the spot market and were limited to obtaining supplies from major oil companies at contract posted prices.</w:t>
      </w:r>
    </w:p>
    <w:p>
      <w:pPr>
        <w:pStyle w:val="BodyTextIndent3"/>
        <w:rPr/>
      </w:pPr>
      <w:r>
        <w:rPr/>
        <w:t>The introduction of No. 2 heating oil futures trading allowed small jobbers and local distributors who had been excluded from spot market trading to get involved. Use of the market by small jobbers and distributors was a major factor in the initial success of the heating oil futures contract.</w:t>
      </w:r>
    </w:p>
    <w:p>
      <w:pPr>
        <w:pStyle w:val="Normal"/>
        <w:numPr>
          <w:ilvl w:val="0"/>
          <w:numId w:val="3"/>
        </w:numPr>
        <w:spacing w:lineRule="auto" w:line="480"/>
        <w:jc w:val="both"/>
        <w:rPr/>
      </w:pPr>
      <w:r>
        <w:rPr>
          <w:b/>
          <w:bCs/>
        </w:rPr>
        <w:t xml:space="preserve">Market Timing: </w:t>
      </w:r>
      <w:r>
        <w:rPr/>
        <w:t xml:space="preserve"> This is often critical to the success or failure of a contract. However, this is also difficult to predict. Ideally, contracts should be introduced to coincide with periods of high volatility and high levels of cash market activity. For example, it would be best to introduce a heating oil or natural gas contract in the fall months when physical trading is at its yearly high. Conversely, a gasoline contract would be best introduced in the spring, prior to an anticipated surge of summer driving.</w:t>
      </w:r>
    </w:p>
    <w:p>
      <w:pPr>
        <w:pStyle w:val="Normal"/>
        <w:numPr>
          <w:ilvl w:val="0"/>
          <w:numId w:val="3"/>
        </w:numPr>
        <w:spacing w:lineRule="auto" w:line="480"/>
        <w:jc w:val="both"/>
        <w:rPr/>
      </w:pPr>
      <w:r>
        <w:rPr>
          <w:b/>
          <w:bCs/>
        </w:rPr>
        <w:t xml:space="preserve">Readily Available Price Information: </w:t>
      </w:r>
      <w:r>
        <w:rPr/>
        <w:t xml:space="preserve"> This is a critical factor for success. The opening of a futures market may also stimulate a rapid growth of price information services. However, at the outset, market participants must have a sufficiently broad base of price information to permit evaluation of spot prices and their relationship to futures prices.</w:t>
      </w:r>
    </w:p>
    <w:p>
      <w:pPr>
        <w:pStyle w:val="NormalWeb"/>
        <w:spacing w:lineRule="auto" w:line="480" w:before="0" w:after="0"/>
        <w:ind w:start="360" w:end="0"/>
        <w:jc w:val="both"/>
        <w:rPr>
          <w:rFonts w:ascii="Times New Roman" w:hAnsi="Times New Roman" w:cs="Times New Roman"/>
        </w:rPr>
      </w:pPr>
      <w:r>
        <w:rPr>
          <w:rFonts w:cs="Times New Roman" w:ascii="Times New Roman" w:hAnsi="Times New Roman"/>
        </w:rPr>
        <w:t>In general, reliable market information supports the development of competitive markets with numerous exchanges between buyers and sellers. This includes not only reliable price information transparent to a wide number of industry participants in real time, but also general market conditions.</w:t>
      </w:r>
    </w:p>
    <w:p>
      <w:pPr>
        <w:pStyle w:val="BodyTextIndent3"/>
        <w:rPr/>
      </w:pPr>
      <w:r>
        <w:rPr/>
        <w:t>The value of information is likely to increase over time as the natural gas industry continues to shift from a regulated, cost-of-service business toward more streamlined operations under competition. As excess capacity is reduced, the allocation problem becomes more pressing. Price risks from bottlenecks or congestion increase as available capacity declines relative to expected demand, which is growing. As the electric power industry evolves along similar paths, its data requirements will expand correspondingly.</w:t>
      </w:r>
    </w:p>
    <w:p>
      <w:pPr>
        <w:pStyle w:val="Normal"/>
        <w:numPr>
          <w:ilvl w:val="0"/>
          <w:numId w:val="3"/>
        </w:numPr>
        <w:spacing w:lineRule="auto" w:line="480"/>
        <w:jc w:val="both"/>
        <w:rPr/>
      </w:pPr>
      <w:r>
        <w:rPr>
          <w:b/>
          <w:bCs/>
        </w:rPr>
        <w:t>Contract Flexibility:</w:t>
      </w:r>
      <w:r>
        <w:rPr/>
        <w:t xml:space="preserve">  This seems to be an important criterion in determining the success of futures contracts. For example, to encourage new participants to trade its futures contracts, NYMEX has over the years expanded the deliverable grades of crude to include six domestic grades (West Texas Intermediate, Low Sweet Mix, New Mexican Sweet, North Texas Sweet, Oklahoma Sweet, and South Texas Sweet) and six foreign grades (U.K. Brent, Norwegian Oseberg Brent, U.K. Forties, Nigerian Light, Colombian Cusiana, and Qua Iboe). Some of the foreign crudes are deliverable at a discount or at a premium or at a par. NYMEX has also expanded the trading months to seven years in the future which allows hedgers to lock in profit margins years in advance.</w:t>
      </w:r>
    </w:p>
    <w:p>
      <w:pPr>
        <w:pStyle w:val="Normal"/>
        <w:numPr>
          <w:ilvl w:val="0"/>
          <w:numId w:val="3"/>
        </w:numPr>
        <w:spacing w:lineRule="auto" w:line="480"/>
        <w:jc w:val="both"/>
        <w:rPr/>
      </w:pPr>
      <w:r>
        <w:rPr>
          <w:b/>
          <w:bCs/>
        </w:rPr>
        <w:t xml:space="preserve">Payment Method: </w:t>
      </w:r>
      <w:r>
        <w:rPr/>
        <w:t xml:space="preserve"> Cash settlement is a device that addresses the lack of deliverability. The final settlement is based on calculation of an index to which the futures prices necessarily converges at the close of trading in a contract. This construction places few restrictions on the underlying product; in particular, it makes futures contracts feasible on commodities for which physical delivery would be virtually impossible. In many instances, the incorporation of a cash settlement feature in a contract enables active trading of those commodities. Another fact about choosing cash settlement over physical delivery when designing a contract is that cash settlement tends to make a contract more difficult to manipulate. One of the reasons this is true is that broad-base indices are viewed as less likely to be used in price basing.</w:t>
      </w:r>
    </w:p>
    <w:p>
      <w:pPr>
        <w:pStyle w:val="BodyTextIndent3"/>
        <w:rPr/>
      </w:pPr>
      <w:r>
        <w:rPr/>
        <w:t>The CBOT started trading heating oil, gasoline, and crude oil futures contracts at the end of 1982 and the beginning of 1983. None of the contracts were successful because delivery on them required use of depository receipts, a method that was unacceptable to the petroleum industry. Similarly, the CME began trading two energy futures contracts with Gulf Coast delivery which also did not succeed mainly because the petroleum industry could not relate to the minimum price fluctuations specified in the contracts.</w:t>
      </w:r>
    </w:p>
    <w:p>
      <w:pPr>
        <w:pStyle w:val="BodyTextIndent3"/>
        <w:rPr/>
      </w:pPr>
      <w:r>
        <w:rPr/>
        <w:t>The IPE launched a Brent crude oil futures contract in 1983. The contract, which required delivery of physicals, had limited success, and was revised in 1985 to a cash settlement delivery. The revised contract failed and Brent crude oil futures were reintroduced in 1988 with cash settlement/Exchange of Futures for Physicals (EFP) delivery. The new contract, with its innovative delivery method, was well received by the petroleum industry and grew rapidly.</w:t>
      </w:r>
    </w:p>
    <w:p>
      <w:pPr>
        <w:pStyle w:val="Normal"/>
        <w:numPr>
          <w:ilvl w:val="0"/>
          <w:numId w:val="3"/>
        </w:numPr>
        <w:spacing w:lineRule="auto" w:line="480"/>
        <w:jc w:val="both"/>
        <w:rPr/>
      </w:pPr>
      <w:r>
        <w:rPr>
          <w:b/>
          <w:bCs/>
        </w:rPr>
        <w:t>Regulatory Involvement:</w:t>
      </w:r>
      <w:r>
        <w:rPr/>
        <w:t xml:space="preserve">  With the enormous growth in the futures market, both in transactional volume and the number of contracts traded, the market regulatory framework has become more comprehensive and stringent.  The regulatory framework of the futures markets is important because part of the success of a futures contract depends on the inability to manipulate that contract.  This is the role of the Commodity Trading Futures Commission (CTFC). The fundamental concern of the CTFC is to review new contract applications to prevent the manipulation of the futures contract and thus facilitate the success of the contract. Before a futures contract is available to trade on the open market and deemed a success or a failure, a new futures contract application must be reviewed and approved by the CTFC.  As part of this review, the CTFC invites comments from public agencies, as well as from the private sector.  Furthermore, the CTFC will directly solicit comments from affected federal agencies including the Federal Reserve Board, the Treasury, and the Security and Exchange Commission.  Before recommending approval, the Commission’s staff review considers any negative comments received regarding the application and gives justification for overriding the comment.   The most important part of the review is the examination of the contract’s terms and conditions.  The contract’s terms and conditions are the precise specifications of the contract and determine the nature of the obligations of the long and the short.  These specifications include the kind and grade of product called for, the delivery locations, delivery facility, delivery dates, inspection procedures, the legal instrument serving as the proof of delivery, the pricing basis including minimum fluctuations from one transaction to another, and the maximum permitted change over the previous days’ settlement price, and the method of calculating invoices at delivery including discounts and premia for non-par grades and locations.  The reason the CTFC specifies so many details of a contract is to allow it to evaluate the amount of deliverable supply that is expected to exist in the cash market and, as a result, the likelihood that the futures market can be manipulated.  If the CTFC believes that circumstances would permit manipulation, it will request a change in the terms and conditions of the contract so as to increase the deliverable supply.</w:t>
      </w:r>
      <w:r>
        <w:rPr>
          <w:rStyle w:val="FootnoteCharacters"/>
          <w:rStyle w:val="FootnoteReference"/>
        </w:rPr>
        <w:footnoteReference w:id="5"/>
      </w:r>
      <w:r>
        <w:rPr/>
        <w:t xml:space="preserve"> </w:t>
      </w:r>
    </w:p>
    <w:p>
      <w:pPr>
        <w:pStyle w:val="BodyTextIndent3"/>
        <w:rPr/>
      </w:pPr>
      <w:r>
        <w:rPr/>
        <w:t>The current movement of deregulation in some energy markets, specifically the electricity generation market, will have an impact on which contracts are likely to succeed.</w:t>
      </w:r>
    </w:p>
    <w:p>
      <w:pPr>
        <w:pStyle w:val="Normal"/>
        <w:spacing w:lineRule="auto" w:line="480"/>
        <w:ind w:start="360" w:end="0"/>
        <w:jc w:val="both"/>
        <w:rPr/>
      </w:pPr>
      <w:r>
        <w:rPr/>
        <w:t>The impact of deregulation on the success of futures contracts will be deliberated on a state-by-state basis.  The utility regulatory commissions and legislatures of nearly all 50 states and the District of Columbia are in different stages of the implementation process, ranging from informally studying the idea to implementing full retail competition.  While there are similarities among the states, each state program contains specifications such as size and duration, flexibility, billing, and metering that vary from one program to another.</w:t>
      </w:r>
      <w:r>
        <w:rPr>
          <w:rStyle w:val="FootnoteCharacters"/>
          <w:rStyle w:val="FootnoteReference"/>
        </w:rPr>
        <w:footnoteReference w:id="6"/>
      </w:r>
      <w:r>
        <w:rPr/>
        <w:t xml:space="preserve">  </w:t>
      </w:r>
    </w:p>
    <w:p>
      <w:pPr>
        <w:pStyle w:val="Normal"/>
        <w:numPr>
          <w:ilvl w:val="0"/>
          <w:numId w:val="3"/>
        </w:numPr>
        <w:spacing w:lineRule="auto" w:line="480"/>
        <w:jc w:val="both"/>
        <w:rPr/>
      </w:pPr>
      <w:r>
        <w:rPr>
          <w:b/>
          <w:bCs/>
        </w:rPr>
        <w:t xml:space="preserve">Sufficient Deliverable Supplies:  </w:t>
      </w:r>
      <w:r>
        <w:rPr/>
        <w:t>This can pose a Catch-22 situation for the futures market. If there are not sufficient deliverable supplies of the commodity meeting the quality specification of the contract, futures trading will fail. However, there must be some uncertainty about the sufficiency of supplies if the previously stated conditions are to be met.</w:t>
      </w:r>
    </w:p>
    <w:p>
      <w:pPr>
        <w:pStyle w:val="Normal"/>
        <w:numPr>
          <w:ilvl w:val="0"/>
          <w:numId w:val="3"/>
        </w:numPr>
        <w:spacing w:lineRule="auto" w:line="480"/>
        <w:jc w:val="both"/>
        <w:rPr/>
      </w:pPr>
      <w:r>
        <w:rPr>
          <w:b/>
          <w:bCs/>
        </w:rPr>
        <w:t xml:space="preserve">Unique Trading Opportunities:  </w:t>
      </w:r>
      <w:r>
        <w:rPr/>
        <w:t>This is also a key factor. If the existing futures contract for a commodity has sufficient liquidity and is serving its customers well, it is extremely difficult to replace that. Inertia, habit, and personal relationships will keep traders loyal to the existing contract</w:t>
      </w:r>
      <w:r>
        <w:rPr>
          <w:rStyle w:val="FootnoteCharacters"/>
          <w:rStyle w:val="FootnoteReference"/>
        </w:rPr>
        <w:footnoteReference w:id="7"/>
      </w:r>
      <w:r>
        <w:rPr/>
        <w:t>.</w:t>
      </w:r>
    </w:p>
    <w:p>
      <w:pPr>
        <w:pStyle w:val="Normal"/>
        <w:numPr>
          <w:ilvl w:val="0"/>
          <w:numId w:val="3"/>
        </w:numPr>
        <w:spacing w:lineRule="auto" w:line="480"/>
        <w:jc w:val="both"/>
        <w:rPr/>
      </w:pPr>
      <w:r>
        <w:rPr>
          <w:b/>
          <w:bCs/>
        </w:rPr>
        <w:t xml:space="preserve">Commodity Choice and Contract Design:  </w:t>
      </w:r>
      <w:r>
        <w:rPr/>
        <w:t>The choice of the commodity and the design of the contract are aimed at maximizing participation in trading. For handlers of products or varieties of commodities without futures markets, an “ideal” hedge does not exist, and cross hedging is the only possibility</w:t>
      </w:r>
      <w:r>
        <w:rPr>
          <w:rStyle w:val="FootnoteCharacters"/>
          <w:rStyle w:val="FootnoteReference"/>
        </w:rPr>
        <w:footnoteReference w:id="8"/>
      </w:r>
      <w:r>
        <w:rPr/>
        <w:t>. If cross hedging leaves the hedger with a large amount of residual risk, a niche may exist for the new contract. Thus one of the criteria of success of the future contract is that it will aim to minimize the residual risk from cross hedging both from its commodity choice and from the contract design.</w:t>
      </w:r>
    </w:p>
    <w:p>
      <w:pPr>
        <w:pStyle w:val="Header"/>
        <w:tabs>
          <w:tab w:val="clear" w:pos="4320"/>
          <w:tab w:val="clear" w:pos="8640"/>
        </w:tabs>
        <w:spacing w:lineRule="auto" w:line="480"/>
        <w:rPr/>
      </w:pPr>
      <w:r>
        <w:rPr/>
      </w:r>
    </w:p>
    <w:p>
      <w:pPr>
        <w:pStyle w:val="Heading1"/>
        <w:spacing w:lineRule="auto" w:line="480"/>
        <w:ind w:hanging="0" w:start="0"/>
        <w:jc w:val="both"/>
        <w:rPr/>
      </w:pPr>
      <w:r>
        <w:rPr/>
        <w:t>An Example of Issues In Making the Coal Futures Contract Successful</w:t>
      </w:r>
    </w:p>
    <w:p>
      <w:pPr>
        <w:pStyle w:val="BodyTextIndent2"/>
        <w:spacing w:lineRule="auto" w:line="480"/>
        <w:jc w:val="both"/>
        <w:rPr/>
      </w:pPr>
      <w:r>
        <w:rPr/>
        <w:t>Despite the fact that coal is the primary fuel for generating nearly 40% of the world’s electricity, a coal futures contract did not materialize until 1998 when the New York Mercantile Exchange designed the first coal futures contract.  In order to promote the design of a successful contract, a coal advisory committee was formed by the NYMEX and consisted of more than fifty industry participants representing mining companies, trading firms, railroads, barge companies, testing laboratories, terminal operators, and electric utilities. Some of the issues that had to be addressed and contributed to the successful launch of the new contract included:  the standardization of the contract, good timing for the launch of the contract, the credibility of the exchange launching the contract, and the resolution of transportation issues associated with the coal.</w:t>
      </w:r>
    </w:p>
    <w:p>
      <w:pPr>
        <w:pStyle w:val="BodyTextIndent2"/>
        <w:spacing w:lineRule="auto" w:line="480"/>
        <w:jc w:val="both"/>
        <w:rPr>
          <w:b/>
          <w:bCs/>
        </w:rPr>
      </w:pPr>
      <w:r>
        <w:rPr/>
        <w:t xml:space="preserve">The driving force for change in the coal industry is the deregulation of the industry’s largest customer segment:  electric power.  The surge in competition, brought on by deregulation, has made fuel costs a much more important expense and one that utilities must control.  Utilities can no longer simply pass their fuel costs along to wholesale customers.  Because the industry was beginning to look for ways to mitigate price risk, the element of “good timing” contributed to interest in and a need for a coal futures contract.  </w:t>
      </w:r>
    </w:p>
    <w:p>
      <w:pPr>
        <w:pStyle w:val="BodyTextIndent2"/>
        <w:spacing w:lineRule="auto" w:line="480"/>
        <w:jc w:val="both"/>
        <w:rPr/>
      </w:pPr>
      <w:r>
        <w:rPr/>
        <w:t xml:space="preserve">The NYMEX Exchange has a track record of successfully launching new contracts and has dealt with issues resulting from industries that were undergoing transformation from regulated to competitive markets.  Many of the energy companies that would be trading coal had, over the years, gained experience with the evolution of futures contracts for natural gas, oil, and electricity.  </w:t>
      </w:r>
    </w:p>
    <w:p>
      <w:pPr>
        <w:pStyle w:val="Normal"/>
        <w:spacing w:lineRule="auto" w:line="480"/>
        <w:ind w:start="360" w:end="0"/>
        <w:jc w:val="both"/>
        <w:rPr/>
      </w:pPr>
      <w:r>
        <w:rPr/>
        <w:t xml:space="preserve">Because there are different types and grades of coal, the issue of how to standardize the coal contract had to be addressed.  Different types of coal have always been recognized for their potential heat content.  Hard coal (i.e. anthracite) burns hotter than bituminous coal, which burns hotter than lignite coal.  In order to overcome these variations, the industry agreed to a contract based on a measurable ratio of heat content to weight.  </w:t>
      </w:r>
      <w:r>
        <w:rPr>
          <w:rStyle w:val="FootnoteCharacters"/>
          <w:rStyle w:val="FootnoteReference"/>
        </w:rPr>
        <w:footnoteReference w:id="9"/>
      </w:r>
      <w:r>
        <w:rPr/>
        <w:t xml:space="preserve">Buyers would be buying coal with at least 12,000 BTU’s/pound.  The decision of pricing coal in BTU’s also put it on an “energy equivalent” basis with natural gas and other fuels whose prices are quoted in $/BTU.  </w:t>
      </w:r>
    </w:p>
    <w:p>
      <w:pPr>
        <w:pStyle w:val="Normal"/>
        <w:spacing w:lineRule="auto" w:line="480"/>
        <w:ind w:start="360" w:end="0"/>
        <w:jc w:val="both"/>
        <w:rPr/>
      </w:pPr>
      <w:r>
        <w:rPr/>
        <w:t>The coal industry had become accustomed to long-term coal contracts that typically included transportation costs as a part of the price.</w:t>
      </w:r>
      <w:r>
        <w:rPr>
          <w:rStyle w:val="FootnoteCharacters"/>
          <w:rStyle w:val="FootnoteReference"/>
        </w:rPr>
        <w:footnoteReference w:id="10"/>
      </w:r>
      <w:r>
        <w:rPr/>
        <w:t xml:space="preserve">  In order to make the contract fungible, an instrument needed to be created that would make the seller indifferent to transportation costs.  This entailed deciding on an actual location and a mode for delivery.  After studying a number of possibilities, a location on a strip of the Ohio River with numerous coal barge facilities was agreed upon.  Then, the type of barge transportation had to be decided upon.  As it turns out, the coal advisory committee decided on a “jumbo barge” (with a capacity of 1550 tons) and this led to the specification of contract size (1550 tons times 1200 BTU/ton = 37,200 MMBTU). </w:t>
      </w:r>
    </w:p>
    <w:p>
      <w:pPr>
        <w:pStyle w:val="Normal"/>
        <w:spacing w:lineRule="auto" w:line="480"/>
        <w:ind w:start="360" w:end="0"/>
        <w:jc w:val="both"/>
        <w:rPr/>
      </w:pPr>
      <w:r>
        <w:rPr/>
      </w:r>
    </w:p>
    <w:p>
      <w:pPr>
        <w:pStyle w:val="Heading1"/>
        <w:ind w:hanging="0" w:start="0"/>
        <w:rPr/>
      </w:pPr>
      <w:r>
        <w:rPr/>
        <w:t>Examples of Contracts that Demonstrate Success and Failure</w:t>
      </w:r>
    </w:p>
    <w:p>
      <w:pPr>
        <w:pStyle w:val="Normal"/>
        <w:rPr/>
      </w:pPr>
      <w:r>
        <w:rPr/>
      </w:r>
    </w:p>
    <w:p>
      <w:pPr>
        <w:pStyle w:val="Heading2"/>
        <w:spacing w:lineRule="auto" w:line="480"/>
        <w:rPr>
          <w:b w:val="false"/>
          <w:bCs w:val="false"/>
        </w:rPr>
      </w:pPr>
      <w:r>
        <w:rPr>
          <w:b w:val="false"/>
          <w:bCs w:val="false"/>
        </w:rPr>
        <w:t>Some contracts are for the same underlying asset, but vary in their delivery point. This coupled with other factors can have a significant impact on their success or failure. A good comparison of this is observed between the NYMEX Henry Hub natural gas futures contract and the Kansas City Board of Trade Western Gas natural gas futures contract. Both contracts are subject to similar regulatory conditions, market timing issues, and availability of price information. Both contracts are for the same underlying, share a common design (10,000MMBtu), and are settled by physical delivery (most positions are liquidated prior to expiration, however, and thus are essentially cash settled). Both are also subject to price volatility and both should have adequate supply, though supply and price will vary between the two. Neither contract provides flexibility, but flexibility can be added when they are combined with other derivatives like basis swaps. The other factors for success, however, are where these two contracts differ.  This is what allows one contract to outperform the other.</w:t>
      </w:r>
    </w:p>
    <w:p>
      <w:pPr>
        <w:pStyle w:val="Normal"/>
        <w:rPr>
          <w:b/>
          <w:bCs/>
        </w:rPr>
      </w:pPr>
      <w:r>
        <w:rPr>
          <w:b/>
          <w:bCs/>
        </w:rPr>
      </w:r>
    </w:p>
    <w:p>
      <w:pPr>
        <w:pStyle w:val="Heading2"/>
        <w:ind w:start="0" w:end="0"/>
        <w:rPr/>
      </w:pPr>
      <w:r>
        <w:rPr/>
        <w:t>NYMEX Henry Hub Natural Gas Futures</w:t>
      </w:r>
    </w:p>
    <w:p>
      <w:pPr>
        <w:pStyle w:val="Normal"/>
        <w:rPr/>
      </w:pPr>
      <w:r>
        <w:rPr/>
      </w:r>
    </w:p>
    <w:p>
      <w:pPr>
        <w:pStyle w:val="BodyText"/>
        <w:ind w:start="360" w:end="0"/>
        <w:rPr/>
      </w:pPr>
      <w:r>
        <w:rPr/>
        <w:t xml:space="preserve">One of the most successful gas futures contracts in the world is the NYMEX Henry Hub futures contract, with open interest in the tens of thousands. The New York Mercantile Exchange was the first to introduce a futures contract on natural gas in April of 1990.  This contract allows natural gas users to hedge their risks and gives speculators the opportunity to seek out profit opportunities based on the fluctuations of natural gas prices. Volume and open interest on this contract have grown rapidly, making the NYMEX Henry Hub futures contract the fastest growing contract in exchange history. Further value was added to the NYMEX Henry Hub futures contracts when the exchange created options to be traded on natural gas futures. The NYMEX Henry Hub futures contract serves as the underlying asset for these options.  </w:t>
      </w:r>
    </w:p>
    <w:p>
      <w:pPr>
        <w:pStyle w:val="Normal"/>
        <w:spacing w:lineRule="auto" w:line="480"/>
        <w:ind w:start="360" w:end="0"/>
        <w:jc w:val="both"/>
        <w:rPr/>
      </w:pPr>
      <w:r>
        <w:rPr/>
        <w:t>There are several reasons for the NYMEX Henry Hub futures contracts’ success. Because Henry Hub is centrally located with interconnections to many other locations throughout America, it is attractive to a large number of market participants. Being the first natural gas futures contract, it also has a standing history and market participants are accustomed to using the contract. Because of its liquidity and its ability to serve its customers well, it enjoys a certain amount of loyalty from the market participants. The NYMEX Henry Hub futures contract does a good job of satisfying the factors that influence the success of a futures contract.</w:t>
      </w:r>
    </w:p>
    <w:p>
      <w:pPr>
        <w:pStyle w:val="Normal"/>
        <w:spacing w:lineRule="auto" w:line="480"/>
        <w:ind w:start="360" w:end="0"/>
        <w:jc w:val="both"/>
        <w:rPr/>
      </w:pPr>
      <w:r>
        <w:rPr/>
        <w:t xml:space="preserve"> </w:t>
      </w:r>
    </w:p>
    <w:p>
      <w:pPr>
        <w:pStyle w:val="Heading2"/>
        <w:ind w:start="0" w:end="0"/>
        <w:rPr/>
      </w:pPr>
      <w:r>
        <w:rPr/>
        <w:t>Kansas City Board of Trade Western Gas Futures</w:t>
      </w:r>
    </w:p>
    <w:p>
      <w:pPr>
        <w:pStyle w:val="Normal"/>
        <w:rPr/>
      </w:pPr>
      <w:r>
        <w:rPr/>
      </w:r>
    </w:p>
    <w:p>
      <w:pPr>
        <w:pStyle w:val="BodyText"/>
        <w:ind w:start="360" w:end="0"/>
        <w:rPr/>
      </w:pPr>
      <w:r>
        <w:rPr/>
        <w:t xml:space="preserve">In contrast to the NYMEX Henry Hub futures contract, the Western Gas futures contract traded on the Kansas City Board of Trade is hardly used, with a current open interest of only one contract. The Western Natural Gas contract was designed to fill a niche that was not being supported by contracts offered by NYMEX. Because of regional differences in weather, there are also regional differences in demand for natural gas. Several western participants in the natural gas market felt that the market run by NYMEX did not address these regional differences, and the Kansas City Board of Trade stepped in and established regional trading for Western Gas. To allow market participants to hedge their positions, as well as speculate, a Western Gas futures contract was also developed.  </w:t>
      </w:r>
    </w:p>
    <w:p>
      <w:pPr>
        <w:pStyle w:val="Normal"/>
        <w:spacing w:lineRule="auto" w:line="480"/>
        <w:ind w:start="360" w:end="0"/>
        <w:jc w:val="both"/>
        <w:rPr/>
      </w:pPr>
      <w:r>
        <w:rPr/>
        <w:t xml:space="preserve">The main factors that have resulted in the poor performance of the Western Gas futures contract are that there is not wide market participation and that it does not offer a unique trading opportunity. Western natural gas is storable and deliverable, though not to as many markets as Henry Hub. While this may impact the success of the contract, it is not the key factor impeding the Western Gas futures contracts performance.  The fact that the Western Gas market is limited in size and the NYMEX Henry Hub market overlaps it makes it a weaker alternative. The NYMEX Henry Hub market already has sufficient liquidity and is serving its customers well. Inertia, habit, and existing personal relationships keep the trading at NYMEX rather than the KCBT. Regional differences between NYMEX contracts and those offered by the KCBT can be offset with other hedging tools like basis swaps. Greater trading volumes and more participants in the NYMEX Henry Hub market allow for greater liquidity.  Greater liquidity also makes the NYMEX market more attractive to speculators who may want to enter into or exit positions quickly. For these reasons, the Western Gas futures contract does not offer the large and competitive market necessary for a successful futures contract. </w:t>
      </w:r>
    </w:p>
    <w:p>
      <w:pPr>
        <w:pStyle w:val="Normal"/>
        <w:spacing w:lineRule="auto" w:line="480"/>
        <w:ind w:start="360" w:end="0"/>
        <w:jc w:val="both"/>
        <w:rPr/>
      </w:pPr>
      <w:r>
        <w:rPr/>
      </w:r>
    </w:p>
    <w:p>
      <w:pPr>
        <w:pStyle w:val="Heading4"/>
        <w:spacing w:lineRule="auto" w:line="480" w:before="0" w:after="0"/>
        <w:ind w:hanging="0" w:start="0"/>
        <w:rPr>
          <w:rFonts w:ascii="Times New Roman" w:hAnsi="Times New Roman" w:eastAsia="Times New Roman" w:cs="Times New Roman"/>
        </w:rPr>
      </w:pPr>
      <w:r>
        <w:rPr>
          <w:rFonts w:eastAsia="Times New Roman" w:cs="Times New Roman" w:ascii="Times New Roman" w:hAnsi="Times New Roman"/>
        </w:rPr>
        <w:t>Market Evolution &amp; Trends</w:t>
      </w:r>
    </w:p>
    <w:p>
      <w:pPr>
        <w:pStyle w:val="NormalWeb"/>
        <w:spacing w:lineRule="auto" w:line="480" w:before="0" w:after="0"/>
        <w:ind w:start="360" w:end="0"/>
        <w:jc w:val="both"/>
        <w:rPr>
          <w:rFonts w:ascii="Times New Roman" w:hAnsi="Times New Roman" w:cs="Times New Roman"/>
        </w:rPr>
      </w:pPr>
      <w:r>
        <w:rPr>
          <w:rFonts w:cs="Times New Roman" w:ascii="Times New Roman" w:hAnsi="Times New Roman"/>
        </w:rPr>
        <w:t>New trading practices, institutions, and environments in the natural gas and electricity industries continue to develop and evolve as regulatory barriers to more open exchanges are removed. These institutions include futures markets and electronic auction markets.</w:t>
      </w:r>
    </w:p>
    <w:p>
      <w:pPr>
        <w:pStyle w:val="NormalWeb"/>
        <w:spacing w:lineRule="auto" w:line="480" w:before="0" w:after="0"/>
        <w:ind w:start="360" w:end="0"/>
        <w:jc w:val="both"/>
        <w:rPr>
          <w:rFonts w:ascii="Times New Roman" w:hAnsi="Times New Roman" w:cs="Times New Roman"/>
        </w:rPr>
      </w:pPr>
      <w:r>
        <w:rPr>
          <w:rFonts w:cs="Times New Roman" w:ascii="Times New Roman" w:hAnsi="Times New Roman"/>
        </w:rPr>
        <w:t>The growth of the new institutions is a consequence of unbundling (of wholesale transmission and generation service on the electric side and of production). These trading areas and institutions will continue to grow in importance and be modified, as electricity and natural gas unbundling is extended to the retail market. Innovations, such as electronic auction markets, have developed to improve the performance of cash markets. New institutions, such as futures contract markets, will both complement and compete with existing institutions, yet generally they will tend to improve the interrelatedness of markets for the two sources of energy.</w:t>
      </w:r>
    </w:p>
    <w:p>
      <w:pPr>
        <w:pStyle w:val="NormalWeb"/>
        <w:spacing w:lineRule="auto" w:line="480" w:before="0" w:after="0"/>
        <w:ind w:start="360" w:end="0"/>
        <w:jc w:val="both"/>
        <w:rPr>
          <w:rFonts w:ascii="Times New Roman" w:hAnsi="Times New Roman" w:cs="Times New Roman"/>
        </w:rPr>
      </w:pPr>
      <w:r>
        <w:rPr>
          <w:rFonts w:cs="Times New Roman" w:ascii="Times New Roman" w:hAnsi="Times New Roman"/>
        </w:rPr>
      </w:r>
    </w:p>
    <w:p>
      <w:pPr>
        <w:pStyle w:val="Heading3"/>
        <w:spacing w:lineRule="auto" w:line="480" w:before="0" w:after="0"/>
        <w:ind w:hanging="0" w:start="0"/>
        <w:rPr>
          <w:rFonts w:ascii="Times New Roman" w:hAnsi="Times New Roman" w:cs="Times New Roman"/>
          <w:sz w:val="24"/>
        </w:rPr>
      </w:pPr>
      <w:r>
        <w:rPr>
          <w:rFonts w:cs="Times New Roman" w:ascii="Times New Roman" w:hAnsi="Times New Roman"/>
          <w:sz w:val="24"/>
        </w:rPr>
        <w:t>Futures Contracts</w:t>
      </w:r>
    </w:p>
    <w:p>
      <w:pPr>
        <w:pStyle w:val="NormalWeb"/>
        <w:spacing w:lineRule="auto" w:line="480" w:before="0" w:after="0"/>
        <w:ind w:start="360" w:end="0"/>
        <w:jc w:val="both"/>
        <w:rPr>
          <w:rFonts w:ascii="Times New Roman" w:hAnsi="Times New Roman" w:cs="Times New Roman"/>
        </w:rPr>
      </w:pPr>
      <w:r>
        <w:rPr>
          <w:rFonts w:cs="Times New Roman" w:ascii="Times New Roman" w:hAnsi="Times New Roman"/>
        </w:rPr>
        <w:t>The natural gas futures contract market has been a huge success, as indicated by its impressive growth in transactions. Every day there are about 200,000 contracts outstanding (open interest), which translate into about 2 trillion cubic feet (Tcf) of natural gas. One of the benefits of the growth of the futures contract market is that it allows industry participants to readily discover the price of gas at any time, both for use in the negotiation of contracts for the commodity and as a clear reference point for price determination in transactions scheduled under a contract.</w:t>
      </w:r>
    </w:p>
    <w:p>
      <w:pPr>
        <w:pStyle w:val="NormalWeb"/>
        <w:spacing w:lineRule="auto" w:line="480" w:before="0" w:after="0"/>
        <w:ind w:start="360" w:end="0"/>
        <w:jc w:val="both"/>
        <w:rPr>
          <w:rFonts w:ascii="Times New Roman" w:hAnsi="Times New Roman" w:cs="Times New Roman"/>
        </w:rPr>
      </w:pPr>
      <w:r>
        <w:rPr>
          <w:rFonts w:cs="Times New Roman" w:ascii="Times New Roman" w:hAnsi="Times New Roman"/>
        </w:rPr>
        <w:t>The typical market evolution for most industries is that active spot markets develop before futures markets are instituted. In contrast to this precedent, two electricity futures contract markets have been established even before a very active spot market has developed. This is a significant circumstance because, just as price discovery on the natural gas futures markets motivates exchanges of natural gas, price discovery on electric futures markets is expected to motivate exchanges of electric power both in kind and between natural gas and electric power. A major hindrance to the development of interfuel exchanges thus far is that no electric futures market exists in the eastern part of the country to complement the highly successful gas futures contract market for delivery at the Henry Hub in Louisiana, which is well connected with many natural gas markets in the eastern United States.</w:t>
      </w:r>
    </w:p>
    <w:p>
      <w:pPr>
        <w:pStyle w:val="Normal"/>
        <w:spacing w:lineRule="auto" w:line="480"/>
        <w:rPr/>
      </w:pPr>
      <w:r>
        <w:rPr/>
        <w:t xml:space="preserve">  </w:t>
      </w:r>
    </w:p>
    <w:p>
      <w:pPr>
        <w:pStyle w:val="Heading3"/>
        <w:spacing w:lineRule="auto" w:line="480" w:before="0" w:after="0"/>
        <w:ind w:hanging="0" w:start="0"/>
        <w:rPr>
          <w:rFonts w:ascii="Times New Roman" w:hAnsi="Times New Roman" w:cs="Times New Roman"/>
          <w:sz w:val="24"/>
        </w:rPr>
      </w:pPr>
      <w:r>
        <w:rPr>
          <w:rFonts w:cs="Times New Roman" w:ascii="Times New Roman" w:hAnsi="Times New Roman"/>
          <w:sz w:val="24"/>
        </w:rPr>
        <w:t>Conclusion</w:t>
      </w:r>
    </w:p>
    <w:p>
      <w:pPr>
        <w:pStyle w:val="NormalWeb"/>
        <w:spacing w:lineRule="auto" w:line="480" w:before="0" w:after="0"/>
        <w:ind w:start="360" w:end="0"/>
        <w:jc w:val="both"/>
        <w:rPr>
          <w:rFonts w:ascii="Times New Roman" w:hAnsi="Times New Roman" w:cs="Times New Roman"/>
        </w:rPr>
      </w:pPr>
      <w:r>
        <w:rPr>
          <w:rFonts w:cs="Times New Roman" w:ascii="Times New Roman" w:hAnsi="Times New Roman"/>
        </w:rPr>
        <w:t xml:space="preserve">Significant amounts of price volatility in a market support the development and growth of futures markets because of the great price risk in such markets. Subject to the whims of nature and other forces outside an industry's control, price volatility is a fact of economic life in deregulated commodity markets. As a result of the great price volatility in natural gas markets, the growth of the natural gas and electricity futures market has been phenomenal. </w:t>
      </w:r>
    </w:p>
    <w:p>
      <w:pPr>
        <w:pStyle w:val="NormalWeb"/>
        <w:spacing w:lineRule="auto" w:line="480" w:before="0" w:after="0"/>
        <w:ind w:start="360" w:end="0"/>
        <w:jc w:val="both"/>
        <w:rPr>
          <w:rFonts w:ascii="Times New Roman" w:hAnsi="Times New Roman" w:cs="Times New Roman"/>
        </w:rPr>
      </w:pPr>
      <w:r>
        <w:rPr>
          <w:rFonts w:cs="Times New Roman" w:ascii="Times New Roman" w:hAnsi="Times New Roman"/>
        </w:rPr>
        <w:t>Important factors for the development of a futures contract market typically are the existence of an active spot market and the availability of a standardized product. Spot markets for natural gas have developed all across the United States as the industry has become increasingly competitive. Natural gas and electricity are both highly standardized commodities. In fact, standardization is necessary in both industries to avoid operational problems. The characteristics of natural gas are similar in different markets scattered across the United States. This, in part, explains the growth in the volume of transactions on spot and futures markets for the commodity. There is usually much more variability in the characteristics of such well-known commodities as corn and wheat at different locations than there is for natural gas and electricity.</w:t>
      </w:r>
    </w:p>
    <w:p>
      <w:pPr>
        <w:pStyle w:val="NormalWeb"/>
        <w:spacing w:lineRule="auto" w:line="480" w:before="0" w:after="0"/>
        <w:ind w:start="360" w:end="0"/>
        <w:jc w:val="both"/>
        <w:rPr>
          <w:rFonts w:ascii="Times New Roman" w:hAnsi="Times New Roman" w:cs="Times New Roman"/>
        </w:rPr>
      </w:pPr>
      <w:r>
        <w:rPr>
          <w:rFonts w:cs="Times New Roman" w:ascii="Times New Roman" w:hAnsi="Times New Roman"/>
        </w:rPr>
        <w:t>Because location is an important attribute even for a homogenous product, a delivery point must be established for futures trading. The location chosen for a delivery point for a futures market is usually where there is a very active spot market and where delivery problems are not likely to occur. Even though futures contracts are primarily financial instruments for price hedging or fixing the price of energy, deliveries through a futures contract do, in fact, occur, and when they do occur, the futures exchange has a great interest in maintaining ease of delivery.</w:t>
      </w:r>
    </w:p>
    <w:p>
      <w:pPr>
        <w:pStyle w:val="NormalWeb"/>
        <w:spacing w:lineRule="auto" w:line="480" w:before="0" w:after="0"/>
        <w:ind w:start="360" w:end="0"/>
        <w:jc w:val="both"/>
        <w:rPr>
          <w:rFonts w:ascii="Times New Roman" w:hAnsi="Times New Roman" w:cs="Times New Roman"/>
        </w:rPr>
      </w:pPr>
      <w:r>
        <w:rPr>
          <w:rFonts w:cs="Times New Roman" w:ascii="Times New Roman" w:hAnsi="Times New Roman"/>
        </w:rPr>
        <w:t>Futures markets thrive on the frequent exchange of futures contracts. Frequent exchanges, in turn, are motivated by inherent price volatility and supported by market liquidity. An important objective of the futures contract market is to obtain broad and extensive involvement of the industry, which will support the liquidity of the market. Because participation is supported by the availability of information, futures contract markets are information-intensive markets. As new information is received about the condition of the markets, participants in the industry open and close out positions on the futures contract market, which again provides support for liquidity.</w:t>
      </w:r>
    </w:p>
    <w:p>
      <w:pPr>
        <w:pStyle w:val="BodyTextIndent2"/>
        <w:spacing w:lineRule="auto" w:line="480"/>
        <w:jc w:val="both"/>
        <w:rPr/>
      </w:pPr>
      <w:r>
        <w:rPr/>
        <w:t xml:space="preserve">The futures exchanges want to involve every part of the industry—both buyers and sellers of the commodity—in hedging instruments, so that it will be easy for companies to open and closeout futures positions at current prices. However, the futures exchange governing board understands that the industry participant will want to take delivery at times. In these arrangements, delivery capability should never be an issue or else the industry participants may lose interest in the futures contract market, which may reduce its liquidity. </w:t>
      </w:r>
      <w:r>
        <w:br w:type="page"/>
      </w:r>
    </w:p>
    <w:p>
      <w:pPr>
        <w:pStyle w:val="Heading1"/>
        <w:ind w:hanging="0" w:start="0"/>
        <w:jc w:val="center"/>
        <w:rPr/>
      </w:pPr>
      <w:r>
        <w:rPr/>
        <w:t>REFERENCES</w:t>
      </w:r>
    </w:p>
    <w:p>
      <w:pPr>
        <w:pStyle w:val="Normal"/>
        <w:rPr/>
      </w:pPr>
      <w:r>
        <w:rPr/>
      </w:r>
    </w:p>
    <w:p>
      <w:pPr>
        <w:pStyle w:val="Normal"/>
        <w:rPr/>
      </w:pPr>
      <w:r>
        <w:rPr/>
      </w:r>
    </w:p>
    <w:p>
      <w:pPr>
        <w:pStyle w:val="Normal"/>
        <w:rPr/>
      </w:pPr>
      <w:r>
        <w:rPr/>
        <w:t xml:space="preserve">Anderson, R.W., “The Regulation of Futures Contract Innovations in the United States,” </w:t>
      </w:r>
      <w:r>
        <w:rPr>
          <w:i/>
          <w:iCs/>
        </w:rPr>
        <w:t xml:space="preserve">Journal of Futures Markets </w:t>
      </w:r>
      <w:r>
        <w:rPr/>
        <w:t>4</w:t>
      </w:r>
      <w:r>
        <w:rPr>
          <w:i/>
          <w:iCs/>
        </w:rPr>
        <w:t xml:space="preserve">, </w:t>
      </w:r>
      <w:r>
        <w:rPr/>
        <w:t>297-332, 1984</w:t>
      </w:r>
    </w:p>
    <w:p>
      <w:pPr>
        <w:pStyle w:val="Normal"/>
        <w:rPr/>
      </w:pPr>
      <w:r>
        <w:rPr/>
      </w:r>
    </w:p>
    <w:p>
      <w:pPr>
        <w:pStyle w:val="Normal"/>
        <w:rPr/>
      </w:pPr>
      <w:r>
        <w:rPr/>
        <w:t xml:space="preserve">Black, D. G., “Success and Failure of Futures Contracts: Theory and Empirical Evidence,” </w:t>
      </w:r>
      <w:r>
        <w:rPr>
          <w:i/>
          <w:iCs/>
        </w:rPr>
        <w:t xml:space="preserve">Monograph Series in Finance and Economics, Monograph </w:t>
      </w:r>
      <w:r>
        <w:rPr/>
        <w:t>1986-1</w:t>
      </w:r>
    </w:p>
    <w:p>
      <w:pPr>
        <w:pStyle w:val="Normal"/>
        <w:rPr/>
      </w:pPr>
      <w:r>
        <w:rPr/>
      </w:r>
    </w:p>
    <w:p>
      <w:pPr>
        <w:pStyle w:val="Normal"/>
        <w:rPr/>
      </w:pPr>
      <w:r>
        <w:rPr/>
        <w:t xml:space="preserve">Energy Information Administration, </w:t>
      </w:r>
      <w:r>
        <w:rPr>
          <w:i/>
          <w:iCs/>
        </w:rPr>
        <w:t>Challenges of Electric Power Industry Restructuring for Fuel Suppliers</w:t>
      </w:r>
      <w:r>
        <w:rPr/>
        <w:t>, 1998, DOE/EIA (Washington, DC, September 1998)</w:t>
      </w:r>
    </w:p>
    <w:p>
      <w:pPr>
        <w:pStyle w:val="Normal"/>
        <w:rPr/>
      </w:pPr>
      <w:r>
        <w:rPr/>
      </w:r>
    </w:p>
    <w:p>
      <w:pPr>
        <w:pStyle w:val="Normal"/>
        <w:rPr/>
      </w:pPr>
      <w:r>
        <w:rPr/>
        <w:t xml:space="preserve">Errera, S. and Brown, S., “Fundamentals of Trading Energy Futures &amp; Options,” </w:t>
      </w:r>
      <w:r>
        <w:rPr>
          <w:i/>
          <w:iCs/>
        </w:rPr>
        <w:t>PennWell Corporation</w:t>
      </w:r>
      <w:r>
        <w:rPr/>
        <w:t>, 1999</w:t>
      </w:r>
    </w:p>
    <w:p>
      <w:pPr>
        <w:pStyle w:val="Normal"/>
        <w:rPr/>
      </w:pPr>
      <w:r>
        <w:rPr/>
      </w:r>
    </w:p>
    <w:p>
      <w:pPr>
        <w:pStyle w:val="Normal"/>
        <w:rPr/>
      </w:pPr>
      <w:r>
        <w:rPr/>
        <w:t xml:space="preserve">Schaeffer, R. M., “The Making of the Coal Futures Contract:  Barging Past a Deadlock,” </w:t>
      </w:r>
      <w:r>
        <w:rPr>
          <w:i/>
          <w:iCs/>
        </w:rPr>
        <w:t>NYMEX Website</w:t>
      </w:r>
      <w:r>
        <w:rPr/>
        <w:t>, April 26, 2001</w:t>
      </w:r>
    </w:p>
    <w:p>
      <w:pPr>
        <w:pStyle w:val="Normal"/>
        <w:rPr/>
      </w:pPr>
      <w:r>
        <w:rPr/>
      </w:r>
    </w:p>
    <w:p>
      <w:pPr>
        <w:pStyle w:val="Normal"/>
        <w:rPr/>
      </w:pPr>
      <w:r>
        <w:rPr/>
        <w:t xml:space="preserve">Sturm, F. J., “Trading Natural Gas,” </w:t>
      </w:r>
      <w:r>
        <w:rPr>
          <w:i/>
          <w:iCs/>
        </w:rPr>
        <w:t>PennWell Corporation</w:t>
      </w:r>
      <w:r>
        <w:rPr/>
        <w:t>, 1997</w:t>
      </w:r>
    </w:p>
    <w:p>
      <w:pPr>
        <w:pStyle w:val="Normal"/>
        <w:rPr/>
      </w:pPr>
      <w:r>
        <w:rPr/>
      </w:r>
    </w:p>
    <w:p>
      <w:pPr>
        <w:pStyle w:val="Normal"/>
        <w:rPr/>
      </w:pPr>
      <w:r>
        <w:rPr/>
        <w:t>The Wall Street Journal</w:t>
      </w:r>
    </w:p>
    <w:p>
      <w:pPr>
        <w:pStyle w:val="Normal"/>
        <w:rPr/>
      </w:pPr>
      <w:r>
        <w:rPr/>
      </w:r>
    </w:p>
    <w:p>
      <w:pPr>
        <w:pStyle w:val="Normal"/>
        <w:rPr/>
      </w:pPr>
      <w:r>
        <w:rPr/>
        <w:t xml:space="preserve">Treat, J. E. [Ed], “Energy Futures Trading Opportunities,” </w:t>
      </w:r>
      <w:r>
        <w:rPr>
          <w:i/>
          <w:iCs/>
        </w:rPr>
        <w:t>PennWell Corporation</w:t>
      </w:r>
      <w:r>
        <w:rPr/>
        <w:t>, 2000</w:t>
      </w:r>
    </w:p>
    <w:p>
      <w:pPr>
        <w:sectPr>
          <w:footerReference w:type="default" r:id="rId8"/>
          <w:footerReference w:type="first" r:id="rId9"/>
          <w:footnotePr>
            <w:numFmt w:val="decimal"/>
          </w:footnotePr>
          <w:type w:val="nextPage"/>
          <w:pgSz w:w="12240" w:h="15840"/>
          <w:pgMar w:left="1800" w:right="1800" w:gutter="0" w:header="0" w:top="1296" w:footer="720" w:bottom="1296"/>
          <w:pgNumType w:fmt="decimal"/>
          <w:formProt w:val="false"/>
          <w:titlePg/>
          <w:textDirection w:val="lrTb"/>
          <w:docGrid w:type="default" w:linePitch="360" w:charSpace="0"/>
        </w:sectPr>
        <w:pStyle w:val="Normal"/>
        <w:rPr/>
      </w:pPr>
      <w:r>
        <w:rPr/>
      </w:r>
    </w:p>
    <w:p>
      <w:pPr>
        <w:pStyle w:val="BodyTextIndent2"/>
        <w:spacing w:lineRule="auto" w:line="480"/>
        <w:jc w:val="both"/>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7">
                <wp:simplePos x="0" y="0"/>
                <wp:positionH relativeFrom="column">
                  <wp:posOffset>1828800</wp:posOffset>
                </wp:positionH>
                <wp:positionV relativeFrom="paragraph">
                  <wp:posOffset>-342900</wp:posOffset>
                </wp:positionV>
                <wp:extent cx="4229100" cy="342900"/>
                <wp:effectExtent l="0" t="0" r="0" b="0"/>
                <wp:wrapNone/>
                <wp:docPr id="9" name="Frame3"/>
                <a:graphic xmlns:a="http://schemas.openxmlformats.org/drawingml/2006/main">
                  <a:graphicData uri="http://schemas.microsoft.com/office/word/2010/wordprocessingShape">
                    <wps:wsp>
                      <wps:cNvSpPr txBox="1"/>
                      <wps:spPr>
                        <a:xfrm>
                          <a:off x="0" y="0"/>
                          <a:ext cx="4229100" cy="342900"/>
                        </a:xfrm>
                        <a:prstGeom prst="rect"/>
                        <a:solidFill>
                          <a:srgbClr val="FFFFFF"/>
                        </a:solidFill>
                      </wps:spPr>
                      <wps:txbx>
                        <w:txbxContent>
                          <w:p>
                            <w:pPr>
                              <w:pStyle w:val="Normal"/>
                              <w:rPr>
                                <w:b/>
                                <w:bCs/>
                                <w:sz w:val="28"/>
                              </w:rPr>
                            </w:pPr>
                            <w:r>
                              <w:rPr>
                                <w:b/>
                                <w:bCs/>
                                <w:sz w:val="28"/>
                              </w:rPr>
                              <w:t>Appendix: Past &amp; Present Energy Futures Contracts</w:t>
                            </w:r>
                          </w:p>
                        </w:txbxContent>
                      </wps:txbx>
                      <wps:bodyPr anchor="t" lIns="92075" tIns="46355" rIns="92075" bIns="46355">
                        <a:noAutofit/>
                      </wps:bodyPr>
                    </wps:wsp>
                  </a:graphicData>
                </a:graphic>
              </wp:anchor>
            </w:drawing>
          </mc:Choice>
          <mc:Fallback>
            <w:pict>
              <v:rect fillcolor="#FFFFFF" style="position:absolute;rotation:-0;width:333pt;height:27pt;mso-wrap-distance-left:9.05pt;mso-wrap-distance-right:9.05pt;mso-wrap-distance-top:0pt;mso-wrap-distance-bottom:0pt;margin-top:-27pt;mso-position-vertical-relative:text;margin-left:144pt;mso-position-horizontal-relative:text">
                <v:textbox inset="0.100694444444444in,0.0506944444444444in,0.100694444444444in,0.0506944444444444in">
                  <w:txbxContent>
                    <w:p>
                      <w:pPr>
                        <w:pStyle w:val="Normal"/>
                        <w:rPr>
                          <w:b/>
                          <w:bCs/>
                          <w:sz w:val="28"/>
                        </w:rPr>
                      </w:pPr>
                      <w:r>
                        <w:rPr>
                          <w:b/>
                          <w:bCs/>
                          <w:sz w:val="28"/>
                        </w:rPr>
                        <w:t>Appendix: Past &amp; Present Energy Futures Contracts</w:t>
                      </w:r>
                    </w:p>
                  </w:txbxContent>
                </v:textbox>
                <w10:wrap type="none"/>
              </v:rect>
            </w:pict>
          </mc:Fallback>
        </mc:AlternateContent>
      </w:r>
    </w:p>
    <w:tbl>
      <w:tblPr>
        <w:tblW w:w="13000" w:type="dxa"/>
        <w:jc w:val="start"/>
        <w:tblInd w:w="-5" w:type="dxa"/>
        <w:tblLayout w:type="fixed"/>
        <w:tblCellMar>
          <w:top w:w="0" w:type="dxa"/>
          <w:start w:w="0" w:type="dxa"/>
          <w:bottom w:w="0" w:type="dxa"/>
          <w:end w:w="0" w:type="dxa"/>
        </w:tblCellMar>
      </w:tblPr>
      <w:tblGrid>
        <w:gridCol w:w="3420"/>
        <w:gridCol w:w="1060"/>
        <w:gridCol w:w="2460"/>
        <w:gridCol w:w="1360"/>
        <w:gridCol w:w="1520"/>
        <w:gridCol w:w="3180"/>
      </w:tblGrid>
      <w:tr>
        <w:trPr>
          <w:trHeight w:val="255" w:hRule="atLeast"/>
        </w:trPr>
        <w:tc>
          <w:tcPr>
            <w:tcW w:w="3420"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ascii="Arial" w:hAnsi="Arial" w:eastAsia="Arial Unicode MS" w:cs="Arial"/>
                <w:b/>
                <w:bCs/>
                <w:sz w:val="18"/>
                <w:szCs w:val="18"/>
              </w:rPr>
            </w:pPr>
            <w:r>
              <w:rPr>
                <w:rFonts w:cs="Arial" w:ascii="Arial" w:hAnsi="Arial"/>
                <w:b/>
                <w:bCs/>
                <w:sz w:val="18"/>
                <w:szCs w:val="18"/>
              </w:rPr>
              <w:t>Contract</w:t>
            </w:r>
          </w:p>
        </w:tc>
        <w:tc>
          <w:tcPr>
            <w:tcW w:w="1060" w:type="dxa"/>
            <w:tcBorders>
              <w:top w:val="single" w:sz="4" w:space="0" w:color="000000"/>
              <w:bottom w:val="single" w:sz="4" w:space="0" w:color="000000"/>
              <w:end w:val="single" w:sz="4" w:space="0" w:color="000000"/>
            </w:tcBorders>
            <w:shd w:fill="C0C0C0" w:val="clear"/>
            <w:vAlign w:val="bottom"/>
          </w:tcPr>
          <w:p>
            <w:pPr>
              <w:pStyle w:val="Normal"/>
              <w:jc w:val="center"/>
              <w:rPr>
                <w:rFonts w:ascii="Arial" w:hAnsi="Arial" w:eastAsia="Arial Unicode MS" w:cs="Arial"/>
                <w:b/>
                <w:bCs/>
                <w:sz w:val="18"/>
                <w:szCs w:val="18"/>
              </w:rPr>
            </w:pPr>
            <w:r>
              <w:rPr>
                <w:rFonts w:cs="Arial" w:ascii="Arial" w:hAnsi="Arial"/>
                <w:b/>
                <w:bCs/>
                <w:sz w:val="18"/>
                <w:szCs w:val="18"/>
              </w:rPr>
              <w:t>Exchange</w:t>
            </w:r>
          </w:p>
        </w:tc>
        <w:tc>
          <w:tcPr>
            <w:tcW w:w="2460" w:type="dxa"/>
            <w:tcBorders>
              <w:top w:val="single" w:sz="4" w:space="0" w:color="000000"/>
              <w:bottom w:val="single" w:sz="4" w:space="0" w:color="000000"/>
              <w:end w:val="single" w:sz="4" w:space="0" w:color="000000"/>
            </w:tcBorders>
            <w:shd w:fill="C0C0C0" w:val="clear"/>
            <w:vAlign w:val="bottom"/>
          </w:tcPr>
          <w:p>
            <w:pPr>
              <w:pStyle w:val="Normal"/>
              <w:jc w:val="center"/>
              <w:rPr>
                <w:rFonts w:ascii="Arial" w:hAnsi="Arial" w:eastAsia="Arial Unicode MS" w:cs="Arial"/>
                <w:b/>
                <w:bCs/>
                <w:sz w:val="18"/>
                <w:szCs w:val="18"/>
              </w:rPr>
            </w:pPr>
            <w:r>
              <w:rPr>
                <w:rFonts w:cs="Arial" w:ascii="Arial" w:hAnsi="Arial"/>
                <w:b/>
                <w:bCs/>
                <w:sz w:val="18"/>
                <w:szCs w:val="18"/>
              </w:rPr>
              <w:t>Initiation of Trading</w:t>
            </w:r>
          </w:p>
        </w:tc>
        <w:tc>
          <w:tcPr>
            <w:tcW w:w="1360" w:type="dxa"/>
            <w:tcBorders>
              <w:top w:val="single" w:sz="4" w:space="0" w:color="000000"/>
              <w:bottom w:val="single" w:sz="4" w:space="0" w:color="000000"/>
              <w:end w:val="single" w:sz="4" w:space="0" w:color="000000"/>
            </w:tcBorders>
            <w:shd w:fill="C0C0C0" w:val="clear"/>
            <w:vAlign w:val="bottom"/>
          </w:tcPr>
          <w:p>
            <w:pPr>
              <w:pStyle w:val="Normal"/>
              <w:jc w:val="center"/>
              <w:rPr>
                <w:rFonts w:ascii="Arial" w:hAnsi="Arial" w:eastAsia="Arial Unicode MS" w:cs="Arial"/>
                <w:b/>
                <w:bCs/>
                <w:sz w:val="18"/>
                <w:szCs w:val="18"/>
              </w:rPr>
            </w:pPr>
            <w:r>
              <w:rPr>
                <w:rFonts w:cs="Arial" w:ascii="Arial" w:hAnsi="Arial"/>
                <w:b/>
                <w:bCs/>
                <w:sz w:val="18"/>
                <w:szCs w:val="18"/>
              </w:rPr>
              <w:t>Present Status</w:t>
            </w:r>
          </w:p>
        </w:tc>
        <w:tc>
          <w:tcPr>
            <w:tcW w:w="1520" w:type="dxa"/>
            <w:tcBorders>
              <w:top w:val="single" w:sz="4" w:space="0" w:color="000000"/>
              <w:bottom w:val="single" w:sz="4" w:space="0" w:color="000000"/>
              <w:end w:val="single" w:sz="4" w:space="0" w:color="000000"/>
            </w:tcBorders>
            <w:shd w:fill="C0C0C0" w:val="clear"/>
            <w:vAlign w:val="bottom"/>
          </w:tcPr>
          <w:p>
            <w:pPr>
              <w:pStyle w:val="Normal"/>
              <w:jc w:val="center"/>
              <w:rPr>
                <w:rFonts w:ascii="Arial" w:hAnsi="Arial" w:eastAsia="Arial Unicode MS" w:cs="Arial"/>
                <w:b/>
                <w:bCs/>
                <w:sz w:val="18"/>
                <w:szCs w:val="18"/>
              </w:rPr>
            </w:pPr>
            <w:r>
              <w:rPr>
                <w:rFonts w:cs="Arial" w:ascii="Arial" w:hAnsi="Arial"/>
                <w:b/>
                <w:bCs/>
                <w:sz w:val="18"/>
                <w:szCs w:val="18"/>
              </w:rPr>
              <w:t>Size</w:t>
            </w:r>
          </w:p>
        </w:tc>
        <w:tc>
          <w:tcPr>
            <w:tcW w:w="3180" w:type="dxa"/>
            <w:tcBorders>
              <w:top w:val="single" w:sz="4" w:space="0" w:color="000000"/>
              <w:bottom w:val="single" w:sz="4" w:space="0" w:color="000000"/>
              <w:end w:val="single" w:sz="4" w:space="0" w:color="000000"/>
            </w:tcBorders>
            <w:shd w:fill="C0C0C0" w:val="clear"/>
            <w:vAlign w:val="bottom"/>
          </w:tcPr>
          <w:p>
            <w:pPr>
              <w:pStyle w:val="Normal"/>
              <w:jc w:val="center"/>
              <w:rPr>
                <w:rFonts w:ascii="Arial" w:hAnsi="Arial" w:eastAsia="Arial Unicode MS" w:cs="Arial"/>
                <w:b/>
                <w:bCs/>
                <w:sz w:val="18"/>
                <w:szCs w:val="18"/>
              </w:rPr>
            </w:pPr>
            <w:r>
              <w:rPr>
                <w:rFonts w:cs="Arial" w:ascii="Arial" w:hAnsi="Arial"/>
                <w:b/>
                <w:bCs/>
                <w:sz w:val="18"/>
                <w:szCs w:val="18"/>
              </w:rPr>
              <w:t>Delivery Method</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Crude Oil (Rotterdam)</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NYCE</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Sep-74</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Dormant</w:t>
            </w:r>
          </w:p>
        </w:tc>
        <w:tc>
          <w:tcPr>
            <w:tcW w:w="152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5,000 bbl</w:t>
            </w:r>
          </w:p>
        </w:tc>
        <w:tc>
          <w:tcPr>
            <w:tcW w:w="318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Gas Oil (Rotterdam - ex-shore)</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NYMEX</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Oct-74</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Dormant</w:t>
            </w:r>
          </w:p>
        </w:tc>
        <w:tc>
          <w:tcPr>
            <w:tcW w:w="152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100 metric tons</w:t>
            </w:r>
          </w:p>
        </w:tc>
        <w:tc>
          <w:tcPr>
            <w:tcW w:w="318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Bunker C Oil (Rotterdam - ex-shore)</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NYMEX</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Oct-74</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Dormant</w:t>
            </w:r>
          </w:p>
        </w:tc>
        <w:tc>
          <w:tcPr>
            <w:tcW w:w="152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100 metric tons</w:t>
            </w:r>
          </w:p>
        </w:tc>
        <w:tc>
          <w:tcPr>
            <w:tcW w:w="318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No. 2 Heating Oil (NY Harbor)</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NYMEX</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Nov-78</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Active</w:t>
            </w:r>
          </w:p>
        </w:tc>
        <w:tc>
          <w:tcPr>
            <w:tcW w:w="152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42,000 gal</w:t>
            </w:r>
          </w:p>
        </w:tc>
        <w:tc>
          <w:tcPr>
            <w:tcW w:w="318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No. 6 Fuel Oil (NY Harbor)</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NYMEX</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Nov-78</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Dormant</w:t>
            </w:r>
          </w:p>
        </w:tc>
        <w:tc>
          <w:tcPr>
            <w:tcW w:w="152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42,000 gal</w:t>
            </w:r>
          </w:p>
        </w:tc>
        <w:tc>
          <w:tcPr>
            <w:tcW w:w="318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Gas Oil (A.R.A. Area)</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IPE</w:t>
            </w:r>
          </w:p>
        </w:tc>
        <w:tc>
          <w:tcPr>
            <w:tcW w:w="24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Apr-81 - Revised 1984</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Active</w:t>
            </w:r>
          </w:p>
        </w:tc>
        <w:tc>
          <w:tcPr>
            <w:tcW w:w="152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100 metric tons</w:t>
            </w:r>
          </w:p>
        </w:tc>
        <w:tc>
          <w:tcPr>
            <w:tcW w:w="318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Warrants (''81) Physicals ('84)</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No. 2 Heating Oil (Gulf Coast)</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NYMEX</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Aug-81</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Dormant</w:t>
            </w:r>
          </w:p>
        </w:tc>
        <w:tc>
          <w:tcPr>
            <w:tcW w:w="152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42,000 gal</w:t>
            </w:r>
          </w:p>
        </w:tc>
        <w:tc>
          <w:tcPr>
            <w:tcW w:w="318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Leaded Regular Gasoline (NY Harbor)</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NYMEX</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Oct-81</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Dormant</w:t>
            </w:r>
          </w:p>
        </w:tc>
        <w:tc>
          <w:tcPr>
            <w:tcW w:w="152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42,000 gal</w:t>
            </w:r>
          </w:p>
        </w:tc>
        <w:tc>
          <w:tcPr>
            <w:tcW w:w="318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Leaded Regular Gasoline (Gulf Coast)</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NYMEX</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Dec-81</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Dormant</w:t>
            </w:r>
          </w:p>
        </w:tc>
        <w:tc>
          <w:tcPr>
            <w:tcW w:w="152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42,000 gal</w:t>
            </w:r>
          </w:p>
        </w:tc>
        <w:tc>
          <w:tcPr>
            <w:tcW w:w="318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Propane (Mont Belview, TX)</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NYCE</w:t>
            </w:r>
          </w:p>
        </w:tc>
        <w:tc>
          <w:tcPr>
            <w:tcW w:w="24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Dec-81 (Revised)</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Dormant</w:t>
            </w:r>
          </w:p>
        </w:tc>
        <w:tc>
          <w:tcPr>
            <w:tcW w:w="152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42,000 gal</w:t>
            </w:r>
          </w:p>
        </w:tc>
        <w:tc>
          <w:tcPr>
            <w:tcW w:w="318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Shipping Certificates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Unleaded Regular Gasoline (Gulf Coast)</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CBOT</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Dec-82</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Dormant</w:t>
            </w:r>
          </w:p>
        </w:tc>
        <w:tc>
          <w:tcPr>
            <w:tcW w:w="152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42,000 gal</w:t>
            </w:r>
          </w:p>
        </w:tc>
        <w:tc>
          <w:tcPr>
            <w:tcW w:w="318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Depository Receipts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Crude Oil (Cushing, OK)</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NYMEX</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Mar-83</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Active</w:t>
            </w:r>
          </w:p>
        </w:tc>
        <w:tc>
          <w:tcPr>
            <w:tcW w:w="152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1000 bbl</w:t>
            </w:r>
          </w:p>
        </w:tc>
        <w:tc>
          <w:tcPr>
            <w:tcW w:w="318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Crude Oil (St. James, LA)</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CBOT</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Mar-83</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Dormant</w:t>
            </w:r>
          </w:p>
        </w:tc>
        <w:tc>
          <w:tcPr>
            <w:tcW w:w="152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1000 bbl</w:t>
            </w:r>
          </w:p>
        </w:tc>
        <w:tc>
          <w:tcPr>
            <w:tcW w:w="318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Depository Receipts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No.2 Heating Oil (Gulf Coast)</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CBOT</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Apr-83</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Dormant</w:t>
            </w:r>
          </w:p>
        </w:tc>
        <w:tc>
          <w:tcPr>
            <w:tcW w:w="152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42,000 gal</w:t>
            </w:r>
          </w:p>
        </w:tc>
        <w:tc>
          <w:tcPr>
            <w:tcW w:w="318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Depository Receipts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Crude Oil (1983) (Brent)</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IPE</w:t>
            </w:r>
          </w:p>
        </w:tc>
        <w:tc>
          <w:tcPr>
            <w:tcW w:w="24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Nov-83 - Revised 1985, 1988</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Active</w:t>
            </w:r>
          </w:p>
        </w:tc>
        <w:tc>
          <w:tcPr>
            <w:tcW w:w="152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1000 bbl</w:t>
            </w:r>
          </w:p>
        </w:tc>
        <w:tc>
          <w:tcPr>
            <w:tcW w:w="318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 ('83) CS ('85) CS/EFP ('88)</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Leaded Regular Gasoline (Gulf Coast)</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CME</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Mar-84</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Dormant</w:t>
            </w:r>
          </w:p>
        </w:tc>
        <w:tc>
          <w:tcPr>
            <w:tcW w:w="152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42,000 gal</w:t>
            </w:r>
          </w:p>
        </w:tc>
        <w:tc>
          <w:tcPr>
            <w:tcW w:w="318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No. 2 Heating Oil (Gulf Coast)</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CME</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Mar-84</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Dormant</w:t>
            </w:r>
          </w:p>
        </w:tc>
        <w:tc>
          <w:tcPr>
            <w:tcW w:w="152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42,000 gal</w:t>
            </w:r>
          </w:p>
        </w:tc>
        <w:tc>
          <w:tcPr>
            <w:tcW w:w="318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Unleaded Regular Gasoline (NY Harbor)</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NYMEX</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Dec-84</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Active</w:t>
            </w:r>
          </w:p>
        </w:tc>
        <w:tc>
          <w:tcPr>
            <w:tcW w:w="152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42,000 gal</w:t>
            </w:r>
          </w:p>
        </w:tc>
        <w:tc>
          <w:tcPr>
            <w:tcW w:w="318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Heavy Fuel Oil (A.R.A. Area)</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IPE</w:t>
            </w:r>
          </w:p>
        </w:tc>
        <w:tc>
          <w:tcPr>
            <w:tcW w:w="24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Oct-86 - Revised 1987, 1989</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Dormant</w:t>
            </w:r>
          </w:p>
        </w:tc>
        <w:tc>
          <w:tcPr>
            <w:tcW w:w="152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100 metric tons</w:t>
            </w:r>
          </w:p>
        </w:tc>
        <w:tc>
          <w:tcPr>
            <w:tcW w:w="318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 ('86), ('87) CS ('89)</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Propane (Mont Belview, TX)</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NYMEX</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Aug-87</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Active</w:t>
            </w:r>
          </w:p>
        </w:tc>
        <w:tc>
          <w:tcPr>
            <w:tcW w:w="152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42,000 gal</w:t>
            </w:r>
          </w:p>
        </w:tc>
        <w:tc>
          <w:tcPr>
            <w:tcW w:w="318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High Sulfur Fuel Oil (Singapore Port)</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SIMEX</w:t>
            </w:r>
          </w:p>
        </w:tc>
        <w:tc>
          <w:tcPr>
            <w:tcW w:w="24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Feb-89 - Revised 1998</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Dormant</w:t>
            </w:r>
          </w:p>
        </w:tc>
        <w:tc>
          <w:tcPr>
            <w:tcW w:w="152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100 metric tons</w:t>
            </w:r>
          </w:p>
        </w:tc>
        <w:tc>
          <w:tcPr>
            <w:tcW w:w="318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 Cash Settlement</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Residual Fuel Oil (NY Harbor)</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NYMEX</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Oct-89</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Dormant</w:t>
            </w:r>
          </w:p>
        </w:tc>
        <w:tc>
          <w:tcPr>
            <w:tcW w:w="152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42,000 gal</w:t>
            </w:r>
          </w:p>
        </w:tc>
        <w:tc>
          <w:tcPr>
            <w:tcW w:w="318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Natural Gas (HH)</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NYMEX</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Apr-90</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Active</w:t>
            </w:r>
          </w:p>
        </w:tc>
        <w:tc>
          <w:tcPr>
            <w:tcW w:w="152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10,000 MMBtu</w:t>
            </w:r>
          </w:p>
        </w:tc>
        <w:tc>
          <w:tcPr>
            <w:tcW w:w="318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Crude Oil (Dubai)</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SIMEX</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Jun-90</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Dormant</w:t>
            </w:r>
          </w:p>
        </w:tc>
        <w:tc>
          <w:tcPr>
            <w:tcW w:w="152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1,000 bbl</w:t>
            </w:r>
          </w:p>
        </w:tc>
        <w:tc>
          <w:tcPr>
            <w:tcW w:w="318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Cash Settlement</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Crude Oil (Dubai)</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IPE</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Jul-90</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Dormant</w:t>
            </w:r>
          </w:p>
        </w:tc>
        <w:tc>
          <w:tcPr>
            <w:tcW w:w="152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1,000 bbl</w:t>
            </w:r>
          </w:p>
        </w:tc>
        <w:tc>
          <w:tcPr>
            <w:tcW w:w="318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Cash Settlement</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Naphtha (A.R.A. Area)</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IPE</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Apr-91</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Dormant</w:t>
            </w:r>
          </w:p>
        </w:tc>
        <w:tc>
          <w:tcPr>
            <w:tcW w:w="152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100 metric tons</w:t>
            </w:r>
          </w:p>
        </w:tc>
        <w:tc>
          <w:tcPr>
            <w:tcW w:w="318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Gas Oil (Singapore)</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SIMEX</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Jun-91</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Dormant</w:t>
            </w:r>
          </w:p>
        </w:tc>
        <w:tc>
          <w:tcPr>
            <w:tcW w:w="152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100 metric tons</w:t>
            </w:r>
          </w:p>
        </w:tc>
        <w:tc>
          <w:tcPr>
            <w:tcW w:w="318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w:t>
            </w:r>
          </w:p>
        </w:tc>
      </w:tr>
    </w:tbl>
    <w:p>
      <w:pPr>
        <w:pStyle w:val="BodyTextIndent2"/>
        <w:spacing w:lineRule="auto" w:line="480"/>
        <w:jc w:val="both"/>
        <w:rPr/>
      </w:pPr>
      <w:r>
        <w:rPr/>
      </w:r>
      <w:r>
        <w:br w:type="page"/>
      </w:r>
    </w:p>
    <w:p>
      <w:pPr>
        <w:pStyle w:val="BodyTextIndent2"/>
        <w:spacing w:lineRule="auto" w:line="480"/>
        <w:jc w:val="both"/>
        <w:rPr/>
      </w:pPr>
      <w:r>
        <w:rPr/>
      </w:r>
    </w:p>
    <w:tbl>
      <w:tblPr>
        <w:tblW w:w="12986" w:type="dxa"/>
        <w:jc w:val="start"/>
        <w:tblInd w:w="-15" w:type="dxa"/>
        <w:tblLayout w:type="fixed"/>
        <w:tblCellMar>
          <w:top w:w="0" w:type="dxa"/>
          <w:start w:w="0" w:type="dxa"/>
          <w:bottom w:w="0" w:type="dxa"/>
          <w:end w:w="0" w:type="dxa"/>
        </w:tblCellMar>
      </w:tblPr>
      <w:tblGrid>
        <w:gridCol w:w="3420"/>
        <w:gridCol w:w="1060"/>
        <w:gridCol w:w="2460"/>
        <w:gridCol w:w="1360"/>
        <w:gridCol w:w="1521"/>
        <w:gridCol w:w="3165"/>
      </w:tblGrid>
      <w:tr>
        <w:trPr>
          <w:trHeight w:val="255" w:hRule="atLeast"/>
        </w:trPr>
        <w:tc>
          <w:tcPr>
            <w:tcW w:w="3420"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ascii="Arial" w:hAnsi="Arial" w:eastAsia="Arial Unicode MS" w:cs="Arial"/>
                <w:b/>
                <w:bCs/>
                <w:sz w:val="18"/>
                <w:szCs w:val="18"/>
              </w:rPr>
            </w:pPr>
            <w:r>
              <w:rPr>
                <w:rFonts w:cs="Arial" w:ascii="Arial" w:hAnsi="Arial"/>
                <w:b/>
                <w:bCs/>
                <w:sz w:val="18"/>
                <w:szCs w:val="18"/>
              </w:rPr>
              <w:t>Contract</w:t>
            </w:r>
          </w:p>
        </w:tc>
        <w:tc>
          <w:tcPr>
            <w:tcW w:w="1060" w:type="dxa"/>
            <w:tcBorders>
              <w:top w:val="single" w:sz="4" w:space="0" w:color="000000"/>
              <w:bottom w:val="single" w:sz="4" w:space="0" w:color="000000"/>
              <w:end w:val="single" w:sz="4" w:space="0" w:color="000000"/>
            </w:tcBorders>
            <w:shd w:fill="C0C0C0" w:val="clear"/>
            <w:vAlign w:val="bottom"/>
          </w:tcPr>
          <w:p>
            <w:pPr>
              <w:pStyle w:val="Normal"/>
              <w:jc w:val="center"/>
              <w:rPr>
                <w:rFonts w:ascii="Arial" w:hAnsi="Arial" w:eastAsia="Arial Unicode MS" w:cs="Arial"/>
                <w:b/>
                <w:bCs/>
                <w:sz w:val="18"/>
                <w:szCs w:val="18"/>
              </w:rPr>
            </w:pPr>
            <w:r>
              <w:rPr>
                <w:rFonts w:cs="Arial" w:ascii="Arial" w:hAnsi="Arial"/>
                <w:b/>
                <w:bCs/>
                <w:sz w:val="18"/>
                <w:szCs w:val="18"/>
              </w:rPr>
              <w:t>Exchange</w:t>
            </w:r>
          </w:p>
        </w:tc>
        <w:tc>
          <w:tcPr>
            <w:tcW w:w="2460" w:type="dxa"/>
            <w:tcBorders>
              <w:top w:val="single" w:sz="4" w:space="0" w:color="000000"/>
              <w:bottom w:val="single" w:sz="4" w:space="0" w:color="000000"/>
              <w:end w:val="single" w:sz="4" w:space="0" w:color="000000"/>
            </w:tcBorders>
            <w:shd w:fill="C0C0C0" w:val="clear"/>
            <w:vAlign w:val="bottom"/>
          </w:tcPr>
          <w:p>
            <w:pPr>
              <w:pStyle w:val="Normal"/>
              <w:jc w:val="center"/>
              <w:rPr>
                <w:rFonts w:ascii="Arial" w:hAnsi="Arial" w:eastAsia="Arial Unicode MS" w:cs="Arial"/>
                <w:b/>
                <w:bCs/>
                <w:sz w:val="18"/>
                <w:szCs w:val="18"/>
              </w:rPr>
            </w:pPr>
            <w:r>
              <w:rPr>
                <w:rFonts w:cs="Arial" w:ascii="Arial" w:hAnsi="Arial"/>
                <w:b/>
                <w:bCs/>
                <w:sz w:val="18"/>
                <w:szCs w:val="18"/>
              </w:rPr>
              <w:t>Initiation of Trading</w:t>
            </w:r>
          </w:p>
        </w:tc>
        <w:tc>
          <w:tcPr>
            <w:tcW w:w="1360" w:type="dxa"/>
            <w:tcBorders>
              <w:top w:val="single" w:sz="4" w:space="0" w:color="000000"/>
              <w:bottom w:val="single" w:sz="4" w:space="0" w:color="000000"/>
              <w:end w:val="single" w:sz="4" w:space="0" w:color="000000"/>
            </w:tcBorders>
            <w:shd w:fill="C0C0C0" w:val="clear"/>
            <w:vAlign w:val="bottom"/>
          </w:tcPr>
          <w:p>
            <w:pPr>
              <w:pStyle w:val="Normal"/>
              <w:jc w:val="center"/>
              <w:rPr>
                <w:rFonts w:ascii="Arial" w:hAnsi="Arial" w:eastAsia="Arial Unicode MS" w:cs="Arial"/>
                <w:b/>
                <w:bCs/>
                <w:sz w:val="18"/>
                <w:szCs w:val="18"/>
              </w:rPr>
            </w:pPr>
            <w:r>
              <w:rPr>
                <w:rFonts w:cs="Arial" w:ascii="Arial" w:hAnsi="Arial"/>
                <w:b/>
                <w:bCs/>
                <w:sz w:val="18"/>
                <w:szCs w:val="18"/>
              </w:rPr>
              <w:t>Present Status</w:t>
            </w:r>
          </w:p>
        </w:tc>
        <w:tc>
          <w:tcPr>
            <w:tcW w:w="1521" w:type="dxa"/>
            <w:tcBorders>
              <w:top w:val="single" w:sz="4" w:space="0" w:color="000000"/>
              <w:bottom w:val="single" w:sz="4" w:space="0" w:color="000000"/>
              <w:end w:val="single" w:sz="4" w:space="0" w:color="000000"/>
            </w:tcBorders>
            <w:shd w:fill="C0C0C0" w:val="clear"/>
            <w:vAlign w:val="bottom"/>
          </w:tcPr>
          <w:p>
            <w:pPr>
              <w:pStyle w:val="Normal"/>
              <w:jc w:val="center"/>
              <w:rPr>
                <w:rFonts w:ascii="Arial" w:hAnsi="Arial" w:eastAsia="Arial Unicode MS" w:cs="Arial"/>
                <w:b/>
                <w:bCs/>
                <w:sz w:val="18"/>
                <w:szCs w:val="18"/>
              </w:rPr>
            </w:pPr>
            <w:r>
              <w:rPr>
                <w:rFonts w:cs="Arial" w:ascii="Arial" w:hAnsi="Arial"/>
                <w:b/>
                <w:bCs/>
                <w:sz w:val="18"/>
                <w:szCs w:val="18"/>
              </w:rPr>
              <w:t>Size</w:t>
            </w:r>
          </w:p>
        </w:tc>
        <w:tc>
          <w:tcPr>
            <w:tcW w:w="3165" w:type="dxa"/>
            <w:tcBorders>
              <w:top w:val="single" w:sz="4" w:space="0" w:color="000000"/>
              <w:bottom w:val="single" w:sz="4" w:space="0" w:color="000000"/>
              <w:end w:val="single" w:sz="4" w:space="0" w:color="000000"/>
            </w:tcBorders>
            <w:shd w:fill="C0C0C0" w:val="clear"/>
            <w:vAlign w:val="bottom"/>
          </w:tcPr>
          <w:p>
            <w:pPr>
              <w:pStyle w:val="Normal"/>
              <w:jc w:val="center"/>
              <w:rPr>
                <w:rFonts w:ascii="Arial" w:hAnsi="Arial" w:eastAsia="Arial Unicode MS" w:cs="Arial"/>
                <w:b/>
                <w:bCs/>
                <w:sz w:val="18"/>
                <w:szCs w:val="18"/>
              </w:rPr>
            </w:pPr>
            <w:r>
              <w:rPr>
                <w:rFonts w:cs="Arial" w:ascii="Arial" w:hAnsi="Arial"/>
                <w:b/>
                <w:bCs/>
                <w:sz w:val="18"/>
                <w:szCs w:val="18"/>
              </w:rPr>
              <w:t>Delivery Method</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Unleaded Gasoline (A.R.A. Area)</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IPE</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Jan-92</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Dormant</w:t>
            </w:r>
          </w:p>
        </w:tc>
        <w:tc>
          <w:tcPr>
            <w:tcW w:w="1521"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100 metric tons</w:t>
            </w:r>
          </w:p>
        </w:tc>
        <w:tc>
          <w:tcPr>
            <w:tcW w:w="3165"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Sour Crude Oil (Texas)</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NYMEX</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Feb-92</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Dormant</w:t>
            </w:r>
          </w:p>
        </w:tc>
        <w:tc>
          <w:tcPr>
            <w:tcW w:w="1521"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1,000 bbl</w:t>
            </w:r>
          </w:p>
        </w:tc>
        <w:tc>
          <w:tcPr>
            <w:tcW w:w="3165"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Unleaded Gasoline (Gulf Coast)</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NYMEX</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Sep-92</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Dormant</w:t>
            </w:r>
          </w:p>
        </w:tc>
        <w:tc>
          <w:tcPr>
            <w:tcW w:w="1521"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42,000 gal</w:t>
            </w:r>
          </w:p>
        </w:tc>
        <w:tc>
          <w:tcPr>
            <w:tcW w:w="3165"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Crude Oil (Brent)</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SIMEX</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Jun-95</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Active</w:t>
            </w:r>
          </w:p>
        </w:tc>
        <w:tc>
          <w:tcPr>
            <w:tcW w:w="1521"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1,000 bbl</w:t>
            </w:r>
          </w:p>
        </w:tc>
        <w:tc>
          <w:tcPr>
            <w:tcW w:w="3165"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Cash Settlement/ EFP</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Natural Gas (Permian/WAHA Hub)</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KCBOT</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Aug-95</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Active</w:t>
            </w:r>
          </w:p>
        </w:tc>
        <w:tc>
          <w:tcPr>
            <w:tcW w:w="1521"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10,000 MMBtu</w:t>
            </w:r>
          </w:p>
        </w:tc>
        <w:tc>
          <w:tcPr>
            <w:tcW w:w="3165"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Electricity (Palo Verde)</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NYMEX</w:t>
            </w:r>
          </w:p>
        </w:tc>
        <w:tc>
          <w:tcPr>
            <w:tcW w:w="24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Mar-96 - Revised 1998</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Active</w:t>
            </w:r>
          </w:p>
        </w:tc>
        <w:tc>
          <w:tcPr>
            <w:tcW w:w="1521"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736 Mwh, 864Mwh</w:t>
            </w:r>
          </w:p>
        </w:tc>
        <w:tc>
          <w:tcPr>
            <w:tcW w:w="3165"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Electricity (California-Oregon Border)</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NYMEX</w:t>
            </w:r>
          </w:p>
        </w:tc>
        <w:tc>
          <w:tcPr>
            <w:tcW w:w="24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Mar-96 - Revised 1998</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Active</w:t>
            </w:r>
          </w:p>
        </w:tc>
        <w:tc>
          <w:tcPr>
            <w:tcW w:w="1521"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736 Mwh, 864Mwh</w:t>
            </w:r>
          </w:p>
        </w:tc>
        <w:tc>
          <w:tcPr>
            <w:tcW w:w="3165"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Natural Gas (Permian Basin)</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NYMEX</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May-96</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Dormant</w:t>
            </w:r>
          </w:p>
        </w:tc>
        <w:tc>
          <w:tcPr>
            <w:tcW w:w="1521"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10,000 MMBtu</w:t>
            </w:r>
          </w:p>
        </w:tc>
        <w:tc>
          <w:tcPr>
            <w:tcW w:w="3165"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Natural Gas (Alberta)</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NYMEX</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Sep-96</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Dormant</w:t>
            </w:r>
          </w:p>
        </w:tc>
        <w:tc>
          <w:tcPr>
            <w:tcW w:w="1521"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10,000 MMBtu</w:t>
            </w:r>
          </w:p>
        </w:tc>
        <w:tc>
          <w:tcPr>
            <w:tcW w:w="3165"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Electricity (New Zealand)</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NZFE</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Nov-96</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Active</w:t>
            </w:r>
          </w:p>
        </w:tc>
        <w:tc>
          <w:tcPr>
            <w:tcW w:w="1521"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250 Mwh</w:t>
            </w:r>
          </w:p>
        </w:tc>
        <w:tc>
          <w:tcPr>
            <w:tcW w:w="3165"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Cash Settlement</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Natural Gas (UK-NBP)</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IPE</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Jan-97</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Active</w:t>
            </w:r>
          </w:p>
        </w:tc>
        <w:tc>
          <w:tcPr>
            <w:tcW w:w="1521"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1,000 therms</w:t>
            </w:r>
          </w:p>
        </w:tc>
        <w:tc>
          <w:tcPr>
            <w:tcW w:w="3165"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Electricity (New South Wales, Australia)</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SFE</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Sep-97</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Active</w:t>
            </w:r>
          </w:p>
        </w:tc>
        <w:tc>
          <w:tcPr>
            <w:tcW w:w="1521"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500 Mwh</w:t>
            </w:r>
          </w:p>
        </w:tc>
        <w:tc>
          <w:tcPr>
            <w:tcW w:w="3165"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Cash Settlement</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Electricity (Victoria, Australia)</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SFE</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Sep-97</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Active</w:t>
            </w:r>
          </w:p>
        </w:tc>
        <w:tc>
          <w:tcPr>
            <w:tcW w:w="1521"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500 Mwh</w:t>
            </w:r>
          </w:p>
        </w:tc>
        <w:tc>
          <w:tcPr>
            <w:tcW w:w="3165"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Cash Settlement</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Electricity (Cinergy)</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NYMEX</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Jul-98</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Active</w:t>
            </w:r>
          </w:p>
        </w:tc>
        <w:tc>
          <w:tcPr>
            <w:tcW w:w="1521"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736 Mwh</w:t>
            </w:r>
          </w:p>
        </w:tc>
        <w:tc>
          <w:tcPr>
            <w:tcW w:w="3165"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Electricity (Entergy)</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NYMEX</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Jul-98</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Active</w:t>
            </w:r>
          </w:p>
        </w:tc>
        <w:tc>
          <w:tcPr>
            <w:tcW w:w="1521"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736 Mwh</w:t>
            </w:r>
          </w:p>
        </w:tc>
        <w:tc>
          <w:tcPr>
            <w:tcW w:w="3165"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Electricity (TVA)</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CBOT</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Sep-98</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Active</w:t>
            </w:r>
          </w:p>
        </w:tc>
        <w:tc>
          <w:tcPr>
            <w:tcW w:w="1521"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1,680 Mwh</w:t>
            </w:r>
          </w:p>
        </w:tc>
        <w:tc>
          <w:tcPr>
            <w:tcW w:w="3165"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Electricity (ComEd)</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CBOT</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Sep-98</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Active</w:t>
            </w:r>
          </w:p>
        </w:tc>
        <w:tc>
          <w:tcPr>
            <w:tcW w:w="1521"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1,680 Mwh</w:t>
            </w:r>
          </w:p>
        </w:tc>
        <w:tc>
          <w:tcPr>
            <w:tcW w:w="3165"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Electricity (Twin Cities)</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MGE</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Sep-98</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Active</w:t>
            </w:r>
          </w:p>
        </w:tc>
        <w:tc>
          <w:tcPr>
            <w:tcW w:w="1521"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736 Mwh</w:t>
            </w:r>
          </w:p>
        </w:tc>
        <w:tc>
          <w:tcPr>
            <w:tcW w:w="3165"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Electricity (Pennsylvania, NJ, Maryland)</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NYMEX</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18"/>
                <w:szCs w:val="18"/>
              </w:rPr>
            </w:pPr>
            <w:r>
              <w:rPr>
                <w:rFonts w:cs="Arial" w:ascii="Arial" w:hAnsi="Arial"/>
                <w:sz w:val="18"/>
                <w:szCs w:val="18"/>
              </w:rPr>
              <w:t>Mar-99</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Active</w:t>
            </w:r>
          </w:p>
        </w:tc>
        <w:tc>
          <w:tcPr>
            <w:tcW w:w="1521"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736 Mwh</w:t>
            </w:r>
          </w:p>
        </w:tc>
        <w:tc>
          <w:tcPr>
            <w:tcW w:w="3165"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Coal (Central Appalachia)</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NYMEX</w:t>
            </w:r>
          </w:p>
        </w:tc>
        <w:tc>
          <w:tcPr>
            <w:tcW w:w="24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NA</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Approved</w:t>
            </w:r>
          </w:p>
        </w:tc>
        <w:tc>
          <w:tcPr>
            <w:tcW w:w="1521"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37,200 MMBtu</w:t>
            </w:r>
          </w:p>
        </w:tc>
        <w:tc>
          <w:tcPr>
            <w:tcW w:w="3165"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Crude Oil (Middle East Sour)</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NYMEX</w:t>
            </w:r>
          </w:p>
        </w:tc>
        <w:tc>
          <w:tcPr>
            <w:tcW w:w="24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NA</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Approved</w:t>
            </w:r>
          </w:p>
        </w:tc>
        <w:tc>
          <w:tcPr>
            <w:tcW w:w="1521"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1,000 bbl</w:t>
            </w:r>
          </w:p>
        </w:tc>
        <w:tc>
          <w:tcPr>
            <w:tcW w:w="3165"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Cash Settlement/ EFP</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Fuel Oil (A.R.A. Area)</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IPE</w:t>
            </w:r>
          </w:p>
        </w:tc>
        <w:tc>
          <w:tcPr>
            <w:tcW w:w="24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NA</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Approved</w:t>
            </w:r>
          </w:p>
        </w:tc>
        <w:tc>
          <w:tcPr>
            <w:tcW w:w="1521"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100 metric tons</w:t>
            </w:r>
          </w:p>
        </w:tc>
        <w:tc>
          <w:tcPr>
            <w:tcW w:w="3165"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Physicals</w:t>
            </w:r>
          </w:p>
        </w:tc>
      </w:tr>
      <w:tr>
        <w:trPr>
          <w:trHeight w:val="255" w:hRule="atLeast"/>
        </w:trPr>
        <w:tc>
          <w:tcPr>
            <w:tcW w:w="342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Electricity (UK)</w:t>
            </w:r>
          </w:p>
        </w:tc>
        <w:tc>
          <w:tcPr>
            <w:tcW w:w="10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IPE</w:t>
            </w:r>
          </w:p>
        </w:tc>
        <w:tc>
          <w:tcPr>
            <w:tcW w:w="24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NA</w:t>
            </w:r>
          </w:p>
        </w:tc>
        <w:tc>
          <w:tcPr>
            <w:tcW w:w="1360"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Planned</w:t>
            </w:r>
          </w:p>
        </w:tc>
        <w:tc>
          <w:tcPr>
            <w:tcW w:w="1521"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NA</w:t>
            </w:r>
          </w:p>
        </w:tc>
        <w:tc>
          <w:tcPr>
            <w:tcW w:w="3165" w:type="dxa"/>
            <w:tcBorders>
              <w:bottom w:val="single" w:sz="4" w:space="0" w:color="000000"/>
              <w:end w:val="single" w:sz="4" w:space="0" w:color="000000"/>
            </w:tcBorders>
            <w:vAlign w:val="bottom"/>
          </w:tcPr>
          <w:p>
            <w:pPr>
              <w:pStyle w:val="Normal"/>
              <w:rPr>
                <w:rFonts w:ascii="Arial" w:hAnsi="Arial" w:eastAsia="Arial Unicode MS" w:cs="Arial"/>
                <w:sz w:val="18"/>
                <w:szCs w:val="18"/>
              </w:rPr>
            </w:pPr>
            <w:r>
              <w:rPr>
                <w:rFonts w:cs="Arial" w:ascii="Arial" w:hAnsi="Arial"/>
                <w:sz w:val="18"/>
                <w:szCs w:val="18"/>
              </w:rPr>
              <w:t>NA</w:t>
            </w:r>
          </w:p>
        </w:tc>
      </w:tr>
      <w:tr>
        <w:trPr>
          <w:trHeight w:val="255" w:hRule="atLeast"/>
        </w:trPr>
        <w:tc>
          <w:tcPr>
            <w:tcW w:w="3420" w:type="dxa"/>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1060" w:type="dxa"/>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2460" w:type="dxa"/>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1360" w:type="dxa"/>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1521" w:type="dxa"/>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3165" w:type="dxa"/>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rHeight w:val="255" w:hRule="atLeast"/>
        </w:trPr>
        <w:tc>
          <w:tcPr>
            <w:tcW w:w="3420" w:type="dxa"/>
            <w:tcBorders/>
            <w:vAlign w:val="bottom"/>
          </w:tcPr>
          <w:p>
            <w:pPr>
              <w:pStyle w:val="Normal"/>
              <w:rPr>
                <w:rFonts w:ascii="Arial" w:hAnsi="Arial" w:eastAsia="Arial Unicode MS" w:cs="Arial"/>
                <w:sz w:val="18"/>
                <w:szCs w:val="18"/>
              </w:rPr>
            </w:pPr>
            <w:r>
              <w:rPr>
                <w:rFonts w:cs="Arial" w:ascii="Arial" w:hAnsi="Arial"/>
                <w:sz w:val="18"/>
                <w:szCs w:val="18"/>
              </w:rPr>
              <w:t>Source:</w:t>
            </w:r>
          </w:p>
        </w:tc>
        <w:tc>
          <w:tcPr>
            <w:tcW w:w="1060" w:type="dxa"/>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2460" w:type="dxa"/>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1360" w:type="dxa"/>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1521" w:type="dxa"/>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3165" w:type="dxa"/>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rHeight w:val="255" w:hRule="atLeast"/>
        </w:trPr>
        <w:tc>
          <w:tcPr>
            <w:tcW w:w="3420" w:type="dxa"/>
            <w:tcBorders/>
            <w:vAlign w:val="bottom"/>
          </w:tcPr>
          <w:p>
            <w:pPr>
              <w:pStyle w:val="Normal"/>
              <w:rPr>
                <w:rFonts w:ascii="Arial" w:hAnsi="Arial" w:eastAsia="Arial Unicode MS" w:cs="Arial"/>
                <w:sz w:val="18"/>
                <w:szCs w:val="18"/>
              </w:rPr>
            </w:pPr>
            <w:r>
              <w:rPr>
                <w:rFonts w:cs="Arial" w:ascii="Arial" w:hAnsi="Arial"/>
                <w:sz w:val="18"/>
                <w:szCs w:val="18"/>
              </w:rPr>
              <w:t>The Wall Street Journal</w:t>
            </w:r>
          </w:p>
        </w:tc>
        <w:tc>
          <w:tcPr>
            <w:tcW w:w="1060" w:type="dxa"/>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2460" w:type="dxa"/>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1360" w:type="dxa"/>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1521" w:type="dxa"/>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3165" w:type="dxa"/>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rHeight w:val="255" w:hRule="atLeast"/>
        </w:trPr>
        <w:tc>
          <w:tcPr>
            <w:tcW w:w="9821" w:type="dxa"/>
            <w:gridSpan w:val="5"/>
            <w:tcBorders/>
            <w:vAlign w:val="bottom"/>
          </w:tcPr>
          <w:p>
            <w:pPr>
              <w:pStyle w:val="Normal"/>
              <w:rPr>
                <w:rFonts w:ascii="Arial" w:hAnsi="Arial" w:eastAsia="Arial Unicode MS" w:cs="Arial"/>
                <w:sz w:val="18"/>
                <w:szCs w:val="18"/>
              </w:rPr>
            </w:pPr>
            <w:r>
              <w:rPr>
                <w:rFonts w:cs="Arial" w:ascii="Arial" w:hAnsi="Arial"/>
                <w:sz w:val="18"/>
                <w:szCs w:val="18"/>
              </w:rPr>
              <w:t xml:space="preserve">Errera, S. and Brown, S., “Fundamentals of Trading Energy Futures &amp; Options,” </w:t>
            </w:r>
            <w:r>
              <w:rPr>
                <w:rFonts w:cs="Arial" w:ascii="Arial" w:hAnsi="Arial"/>
                <w:i/>
                <w:iCs/>
                <w:sz w:val="18"/>
                <w:szCs w:val="18"/>
              </w:rPr>
              <w:t>PennWell Corporation</w:t>
            </w:r>
            <w:r>
              <w:rPr>
                <w:rFonts w:cs="Arial" w:ascii="Arial" w:hAnsi="Arial"/>
                <w:sz w:val="18"/>
                <w:szCs w:val="18"/>
              </w:rPr>
              <w:t>, 1999</w:t>
            </w:r>
          </w:p>
        </w:tc>
        <w:tc>
          <w:tcPr>
            <w:tcW w:w="3165" w:type="dxa"/>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r>
        <w:trPr>
          <w:trHeight w:val="255" w:hRule="atLeast"/>
        </w:trPr>
        <w:tc>
          <w:tcPr>
            <w:tcW w:w="8300" w:type="dxa"/>
            <w:gridSpan w:val="4"/>
            <w:tcBorders/>
            <w:vAlign w:val="bottom"/>
          </w:tcPr>
          <w:p>
            <w:pPr>
              <w:pStyle w:val="Normal"/>
              <w:rPr>
                <w:rFonts w:ascii="Arial" w:hAnsi="Arial" w:eastAsia="Arial Unicode MS" w:cs="Arial"/>
                <w:sz w:val="18"/>
                <w:szCs w:val="18"/>
              </w:rPr>
            </w:pPr>
            <w:r>
              <w:rPr>
                <w:rFonts w:cs="Arial" w:ascii="Arial" w:hAnsi="Arial"/>
                <w:sz w:val="18"/>
                <w:szCs w:val="18"/>
              </w:rPr>
              <w:t xml:space="preserve">Treat, J. E. [Ed], “Energy Futures Trading Opportunities,” </w:t>
            </w:r>
            <w:r>
              <w:rPr>
                <w:rFonts w:cs="Arial" w:ascii="Arial" w:hAnsi="Arial"/>
                <w:i/>
                <w:iCs/>
                <w:sz w:val="18"/>
                <w:szCs w:val="18"/>
              </w:rPr>
              <w:t>PennWell Corporation</w:t>
            </w:r>
            <w:r>
              <w:rPr>
                <w:rFonts w:cs="Arial" w:ascii="Arial" w:hAnsi="Arial"/>
                <w:sz w:val="18"/>
                <w:szCs w:val="18"/>
              </w:rPr>
              <w:t>, 2000</w:t>
            </w:r>
          </w:p>
        </w:tc>
        <w:tc>
          <w:tcPr>
            <w:tcW w:w="1521" w:type="dxa"/>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c>
          <w:tcPr>
            <w:tcW w:w="3165" w:type="dxa"/>
            <w:tcBorders/>
            <w:vAlign w:val="bottom"/>
          </w:tcPr>
          <w:p>
            <w:pPr>
              <w:pStyle w:val="Normal"/>
              <w:snapToGrid w:val="false"/>
              <w:rPr>
                <w:rFonts w:ascii="Arial" w:hAnsi="Arial" w:eastAsia="Arial Unicode MS" w:cs="Arial"/>
                <w:sz w:val="18"/>
                <w:szCs w:val="18"/>
              </w:rPr>
            </w:pPr>
            <w:r>
              <w:rPr>
                <w:rFonts w:eastAsia="Arial Unicode MS" w:cs="Arial" w:ascii="Arial" w:hAnsi="Arial"/>
                <w:sz w:val="18"/>
                <w:szCs w:val="18"/>
              </w:rPr>
            </w:r>
          </w:p>
        </w:tc>
      </w:tr>
    </w:tbl>
    <w:p>
      <w:pPr>
        <w:pStyle w:val="BodyTextIndent2"/>
        <w:spacing w:lineRule="auto" w:line="480"/>
        <w:jc w:val="both"/>
        <w:rPr/>
      </w:pPr>
      <w:r>
        <w:rPr/>
      </w:r>
    </w:p>
    <w:sectPr>
      <w:footerReference w:type="default" r:id="rId10"/>
      <w:footerReference w:type="first" r:id="rId11"/>
      <w:footnotePr>
        <w:numFmt w:val="decimal"/>
      </w:footnotePr>
      <w:type w:val="nextPage"/>
      <w:pgSz w:orient="landscape" w:w="15840" w:h="12240"/>
      <w:pgMar w:left="1296" w:right="1296" w:gutter="0" w:header="0" w:top="180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Lucida Sans">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rPr>
        <w:sz w:val="20"/>
      </w:rPr>
    </w:pPr>
    <w:r>
      <w:rPr>
        <w:sz w:val="20"/>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t>Ganguzza, Hingorani, Johnson, Maue, Patel, Van Stone, Yoshiura</w:t>
    </w:r>
    <w:r>
      <mc:AlternateContent>
        <mc:Choice Requires="wps">
          <w:drawing>
            <wp:anchor behindDoc="0" distT="0" distB="0" distL="0" distR="0" simplePos="0" locked="0" layoutInCell="0" allowOverlap="1" relativeHeight="24">
              <wp:simplePos x="0" y="0"/>
              <wp:positionH relativeFrom="margin">
                <wp:align>right</wp:align>
              </wp:positionH>
              <wp:positionV relativeFrom="paragraph">
                <wp:posOffset>635</wp:posOffset>
              </wp:positionV>
              <wp:extent cx="153035" cy="175260"/>
              <wp:effectExtent l="0" t="0" r="0" b="0"/>
              <wp:wrapSquare wrapText="bothSides"/>
              <wp:docPr id="8" name="Frame4"/>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9.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t>Ganguzza, Hingorani, Johnson, Maue, Patel, Van Stone, Yoshiura</w:t>
    </w:r>
    <w:r>
      <mc:AlternateContent>
        <mc:Choice Requires="wps">
          <w:drawing>
            <wp:anchor behindDoc="0" distT="0" distB="0" distL="0" distR="0" simplePos="0" locked="0" layoutInCell="0" allowOverlap="1" relativeHeight="28">
              <wp:simplePos x="0" y="0"/>
              <wp:positionH relativeFrom="margin">
                <wp:align>right</wp:align>
              </wp:positionH>
              <wp:positionV relativeFrom="paragraph">
                <wp:posOffset>635</wp:posOffset>
              </wp:positionV>
              <wp:extent cx="153035" cy="175260"/>
              <wp:effectExtent l="0" t="0" r="0" b="0"/>
              <wp:wrapSquare wrapText="bothSides"/>
              <wp:docPr id="10" name="Frame5"/>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650.35pt;mso-position-horizontal:righ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Errera, S. and Brown, S., “Fundamentals of Trading Energy Futures &amp; Options,” </w:t>
      </w:r>
      <w:r>
        <w:rPr>
          <w:i/>
          <w:iCs/>
        </w:rPr>
        <w:t>PennWell Corporation</w:t>
      </w:r>
      <w:r>
        <w:rPr/>
        <w:t>, Ch. 9, pg. 163, 1999</w:t>
      </w:r>
    </w:p>
  </w:footnote>
  <w:footnote w:id="3">
    <w:p>
      <w:pPr>
        <w:pStyle w:val="Normal"/>
        <w:rPr/>
      </w:pPr>
      <w:r>
        <w:rPr>
          <w:rStyle w:val="FootnoteCharacters"/>
        </w:rPr>
        <w:footnoteRef/>
      </w:r>
      <w:r>
        <w:rPr>
          <w:sz w:val="20"/>
        </w:rPr>
        <w:t xml:space="preserve"> </w:t>
      </w:r>
      <w:r>
        <w:rPr>
          <w:sz w:val="20"/>
        </w:rPr>
        <w:t xml:space="preserve">Errera, S. and Brown, S., “Fundamentals of Trading Energy Futures &amp; Options,” </w:t>
      </w:r>
      <w:r>
        <w:rPr>
          <w:i/>
          <w:iCs/>
          <w:sz w:val="20"/>
        </w:rPr>
        <w:t>PennWell Corporation</w:t>
      </w:r>
      <w:r>
        <w:rPr>
          <w:sz w:val="20"/>
        </w:rPr>
        <w:t>, 1999</w:t>
      </w:r>
    </w:p>
    <w:p>
      <w:pPr>
        <w:pStyle w:val="FootnoteText"/>
        <w:rPr>
          <w:sz w:val="20"/>
        </w:rPr>
      </w:pPr>
      <w:r>
        <w:rPr>
          <w:sz w:val="20"/>
        </w:rPr>
      </w:r>
    </w:p>
  </w:footnote>
  <w:footnote w:id="4">
    <w:p>
      <w:pPr>
        <w:pStyle w:val="FootnoteText"/>
        <w:rPr/>
      </w:pPr>
      <w:r>
        <w:rPr>
          <w:rStyle w:val="FootnoteCharacters"/>
        </w:rPr>
        <w:footnoteRef/>
      </w:r>
      <w:r>
        <w:rPr/>
        <w:t xml:space="preserve"> </w:t>
      </w:r>
      <w:r>
        <w:rPr/>
        <w:t>The Wall Street Journal, Sunday, April 29, 2001</w:t>
      </w:r>
    </w:p>
  </w:footnote>
  <w:footnote w:id="5">
    <w:p>
      <w:pPr>
        <w:pStyle w:val="FootnoteText"/>
        <w:rPr/>
      </w:pPr>
      <w:r>
        <w:rPr>
          <w:rStyle w:val="FootnoteCharacters"/>
        </w:rPr>
        <w:footnoteRef/>
      </w:r>
      <w:r>
        <w:rPr/>
        <w:t xml:space="preserve"> </w:t>
      </w:r>
      <w:r>
        <w:rPr/>
        <w:t xml:space="preserve">Anderson, R.W. 1984. The Regulation of Futures Contract Innovations in the United States. </w:t>
      </w:r>
      <w:r>
        <w:rPr>
          <w:i/>
          <w:iCs/>
        </w:rPr>
        <w:t xml:space="preserve">Journal of Futures Markets </w:t>
      </w:r>
      <w:r>
        <w:rPr/>
        <w:t>4</w:t>
      </w:r>
      <w:r>
        <w:rPr>
          <w:i/>
          <w:iCs/>
        </w:rPr>
        <w:t xml:space="preserve">, </w:t>
      </w:r>
      <w:r>
        <w:rPr/>
        <w:t>297-332.</w:t>
      </w:r>
    </w:p>
  </w:footnote>
  <w:footnote w:id="6">
    <w:p>
      <w:pPr>
        <w:pStyle w:val="FootnoteText"/>
        <w:rPr/>
      </w:pPr>
      <w:r>
        <w:rPr>
          <w:rStyle w:val="FootnoteCharacters"/>
        </w:rPr>
        <w:footnoteRef/>
      </w:r>
      <w:r>
        <w:rPr/>
        <w:t xml:space="preserve"> </w:t>
      </w:r>
      <w:r>
        <w:rPr/>
        <w:t xml:space="preserve">Energy Information Administration, </w:t>
      </w:r>
      <w:r>
        <w:rPr>
          <w:i/>
          <w:iCs/>
        </w:rPr>
        <w:t>Challenges of Electric Power Industry Restructuring for Fuel Suppliers</w:t>
      </w:r>
      <w:r>
        <w:rPr/>
        <w:t xml:space="preserve">, 1998, DOE/EIA (Washington, DC, September 1998) </w:t>
      </w:r>
    </w:p>
  </w:footnote>
  <w:footnote w:id="7">
    <w:p>
      <w:pPr>
        <w:pStyle w:val="Normal"/>
        <w:rPr/>
      </w:pPr>
      <w:r>
        <w:rPr>
          <w:rStyle w:val="FootnoteCharacters"/>
        </w:rPr>
        <w:footnoteRef/>
      </w:r>
      <w:r>
        <w:rPr>
          <w:sz w:val="20"/>
        </w:rPr>
        <w:t xml:space="preserve"> </w:t>
      </w:r>
      <w:r>
        <w:rPr>
          <w:sz w:val="20"/>
        </w:rPr>
        <w:t xml:space="preserve">Treat, J. E. [Ed], “Energy Futures Trading Opportunities,” </w:t>
      </w:r>
      <w:r>
        <w:rPr>
          <w:i/>
          <w:iCs/>
          <w:sz w:val="20"/>
        </w:rPr>
        <w:t>PennWell Corporation</w:t>
      </w:r>
      <w:r>
        <w:rPr>
          <w:sz w:val="20"/>
        </w:rPr>
        <w:t>, 2000</w:t>
      </w:r>
    </w:p>
  </w:footnote>
  <w:footnote w:id="8">
    <w:p>
      <w:pPr>
        <w:pStyle w:val="FootnoteText"/>
        <w:rPr/>
      </w:pPr>
      <w:r>
        <w:rPr>
          <w:rStyle w:val="FootnoteCharacters"/>
        </w:rPr>
        <w:footnoteRef/>
      </w:r>
      <w:r>
        <w:rPr/>
        <w:t xml:space="preserve"> </w:t>
      </w:r>
      <w:r>
        <w:rPr/>
        <w:t xml:space="preserve">Black, D. G., “Success and Failure of Futures Contracts: Theory and Empirical Evidence,” </w:t>
      </w:r>
      <w:r>
        <w:rPr>
          <w:i/>
          <w:iCs/>
        </w:rPr>
        <w:t xml:space="preserve">Monograph Series in Finance and Economics, Monograph </w:t>
      </w:r>
      <w:r>
        <w:rPr/>
        <w:t>1986-1</w:t>
      </w:r>
    </w:p>
  </w:footnote>
  <w:footnote w:id="9">
    <w:p>
      <w:pPr>
        <w:pStyle w:val="FootnoteText"/>
        <w:rPr/>
      </w:pPr>
      <w:r>
        <w:rPr>
          <w:rStyle w:val="FootnoteCharacters"/>
        </w:rPr>
        <w:footnoteRef/>
      </w:r>
      <w:r>
        <w:rPr/>
        <w:t xml:space="preserve"> “</w:t>
      </w:r>
      <w:r>
        <w:rPr/>
        <w:t>The Making of the Coal Futures Contract:  Barging Past a Deadlock “, Richard M. Schaeffer, NYMEX Web-site, April 26, 2001</w:t>
      </w:r>
    </w:p>
  </w:footnote>
  <w:footnote w:id="10">
    <w:p>
      <w:pPr>
        <w:pStyle w:val="FootnoteText"/>
        <w:rPr/>
      </w:pPr>
      <w:r>
        <w:rPr>
          <w:rStyle w:val="FootnoteCharacters"/>
        </w:rPr>
        <w:footnoteRef/>
      </w:r>
      <w:r>
        <w:rPr/>
        <w:t xml:space="preserve"> </w:t>
      </w:r>
      <w:r>
        <w:rPr/>
        <w:t>Ibid.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bullet"/>
      <w:lvlText w:val=""/>
      <w:lvlJc w:val="start"/>
      <w:pPr>
        <w:tabs>
          <w:tab w:val="num" w:pos="1560"/>
        </w:tabs>
        <w:ind w:start="15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8"/>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360" w:end="0"/>
      <w:outlineLvl w:val="1"/>
    </w:pPr>
    <w:rPr>
      <w:b/>
      <w:bCs/>
    </w:rPr>
  </w:style>
  <w:style w:type="paragraph" w:styleId="Heading3">
    <w:name w:val="heading 3"/>
    <w:basedOn w:val="Normal"/>
    <w:next w:val="BodyText"/>
    <w:qFormat/>
    <w:pPr>
      <w:numPr>
        <w:ilvl w:val="2"/>
        <w:numId w:val="1"/>
      </w:numPr>
      <w:spacing w:before="280" w:after="280"/>
      <w:outlineLvl w:val="2"/>
    </w:pPr>
    <w:rPr>
      <w:rFonts w:ascii="Arial Unicode MS" w:hAnsi="Arial Unicode MS" w:eastAsia="Arial Unicode MS" w:cs="Arial Unicode MS"/>
      <w:b/>
      <w:bCs/>
      <w:sz w:val="27"/>
      <w:szCs w:val="27"/>
    </w:rPr>
  </w:style>
  <w:style w:type="paragraph" w:styleId="Heading4">
    <w:name w:val="heading 4"/>
    <w:basedOn w:val="Normal"/>
    <w:next w:val="BodyText"/>
    <w:qFormat/>
    <w:pPr>
      <w:numPr>
        <w:ilvl w:val="3"/>
        <w:numId w:val="1"/>
      </w:numPr>
      <w:spacing w:before="280" w:after="280"/>
      <w:outlineLvl w:val="3"/>
    </w:pPr>
    <w:rPr>
      <w:rFonts w:ascii="Arial Unicode MS" w:hAnsi="Arial Unicode MS" w:eastAsia="Arial Unicode MS" w:cs="Arial Unicode MS"/>
      <w:b/>
      <w:bCs/>
    </w:rPr>
  </w:style>
  <w:style w:type="paragraph" w:styleId="Heading5">
    <w:name w:val="heading 5"/>
    <w:basedOn w:val="Normal"/>
    <w:next w:val="Normal"/>
    <w:qFormat/>
    <w:pPr>
      <w:keepNext w:val="true"/>
      <w:numPr>
        <w:ilvl w:val="4"/>
        <w:numId w:val="1"/>
      </w:numPr>
      <w:jc w:val="center"/>
      <w:outlineLvl w:val="4"/>
    </w:pPr>
    <w:rPr>
      <w:b/>
      <w:bCs/>
    </w:rPr>
  </w:style>
  <w:style w:type="paragraph" w:styleId="Heading6">
    <w:name w:val="heading 6"/>
    <w:basedOn w:val="Normal"/>
    <w:next w:val="Normal"/>
    <w:qFormat/>
    <w:pPr>
      <w:keepNext w:val="true"/>
      <w:numPr>
        <w:ilvl w:val="5"/>
        <w:numId w:val="1"/>
      </w:numPr>
      <w:outlineLvl w:val="5"/>
    </w:pPr>
    <w:rPr>
      <w:b/>
      <w:bCs/>
      <w:i/>
      <w:iCs/>
    </w:rPr>
  </w:style>
  <w:style w:type="paragraph" w:styleId="Heading7">
    <w:name w:val="heading 7"/>
    <w:basedOn w:val="Normal"/>
    <w:next w:val="Normal"/>
    <w:qFormat/>
    <w:pPr>
      <w:keepNext w:val="true"/>
      <w:numPr>
        <w:ilvl w:val="6"/>
        <w:numId w:val="1"/>
      </w:numPr>
      <w:jc w:val="center"/>
      <w:outlineLvl w:val="6"/>
    </w:pPr>
    <w:rPr>
      <w:rFonts w:ascii="Lucida Sans" w:hAnsi="Lucida Sans" w:cs="Lucida Sans"/>
      <w:b/>
      <w:bCs/>
      <w:sz w:val="28"/>
    </w:rPr>
  </w:style>
  <w:style w:type="paragraph" w:styleId="Heading8">
    <w:name w:val="heading 8"/>
    <w:basedOn w:val="Normal"/>
    <w:next w:val="Normal"/>
    <w:qFormat/>
    <w:pPr>
      <w:keepNext w:val="true"/>
      <w:numPr>
        <w:ilvl w:val="7"/>
        <w:numId w:val="1"/>
      </w:numPr>
      <w:ind w:hanging="0" w:start="0" w:end="-720"/>
      <w:outlineLvl w:val="7"/>
    </w:pPr>
    <w:rPr>
      <w:b/>
      <w:bC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sz w:val="20"/>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style>
  <w:style w:type="paragraph" w:styleId="FootnoteText">
    <w:name w:val="footnote text"/>
    <w:basedOn w:val="Normal"/>
    <w:pPr/>
    <w:rPr>
      <w:sz w:val="20"/>
      <w:szCs w:val="20"/>
    </w:rPr>
  </w:style>
  <w:style w:type="paragraph" w:styleId="BodyTextIndent2">
    <w:name w:val="Body Text Indent 2"/>
    <w:basedOn w:val="Normal"/>
    <w:qFormat/>
    <w:pPr>
      <w:ind w:hanging="0" w:start="360" w:end="0"/>
    </w:pPr>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BodyTextIndent3">
    <w:name w:val="Body Text Indent 3"/>
    <w:basedOn w:val="Normal"/>
    <w:qFormat/>
    <w:pPr>
      <w:spacing w:lineRule="auto" w:line="480"/>
      <w:ind w:hanging="0" w:start="360" w:end="0"/>
      <w:jc w:val="both"/>
    </w:pPr>
    <w:rPr/>
  </w:style>
  <w:style w:type="paragraph" w:styleId="font5">
    <w:name w:val="font5"/>
    <w:basedOn w:val="Normal"/>
    <w:qFormat/>
    <w:pPr>
      <w:spacing w:before="280" w:after="280"/>
    </w:pPr>
    <w:rPr>
      <w:rFonts w:ascii="Tahoma" w:hAnsi="Tahoma" w:eastAsia="Arial Unicode MS" w:cs="Tahoma"/>
      <w:color w:val="000000"/>
      <w:sz w:val="16"/>
      <w:szCs w:val="16"/>
    </w:rPr>
  </w:style>
  <w:style w:type="paragraph" w:styleId="font6">
    <w:name w:val="font6"/>
    <w:basedOn w:val="Normal"/>
    <w:qFormat/>
    <w:pPr>
      <w:spacing w:before="280" w:after="280"/>
    </w:pPr>
    <w:rPr>
      <w:rFonts w:ascii="Tahoma" w:hAnsi="Tahoma" w:eastAsia="Arial Unicode MS" w:cs="Tahoma"/>
      <w:b/>
      <w:bCs/>
      <w:color w:val="000000"/>
      <w:sz w:val="16"/>
      <w:szCs w:val="16"/>
    </w:rPr>
  </w:style>
  <w:style w:type="paragraph" w:styleId="xl24">
    <w:name w:val="xl24"/>
    <w:basedOn w:val="Normal"/>
    <w:qFormat/>
    <w:pPr>
      <w:pBdr>
        <w:top w:val="single" w:sz="4" w:space="0" w:color="000000"/>
        <w:left w:val="single" w:sz="4" w:space="0" w:color="000000"/>
        <w:bottom w:val="single" w:sz="4" w:space="0" w:color="000000"/>
        <w:right w:val="single" w:sz="4" w:space="0" w:color="000000"/>
      </w:pBdr>
      <w:shd w:fill="C0C0C0" w:val="clear"/>
      <w:spacing w:before="280" w:after="280"/>
      <w:jc w:val="center"/>
    </w:pPr>
    <w:rPr>
      <w:rFonts w:ascii="Arial" w:hAnsi="Arial" w:eastAsia="Arial Unicode MS" w:cs="Arial"/>
      <w:b/>
      <w:bCs/>
      <w:sz w:val="18"/>
      <w:szCs w:val="18"/>
    </w:rPr>
  </w:style>
  <w:style w:type="paragraph" w:styleId="xl25">
    <w:name w:val="xl25"/>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eastAsia="Arial Unicode MS" w:cs="Arial"/>
      <w:sz w:val="18"/>
      <w:szCs w:val="18"/>
    </w:rPr>
  </w:style>
  <w:style w:type="paragraph" w:styleId="xl26">
    <w:name w:val="xl26"/>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eastAsia="Arial Unicode MS" w:cs="Arial"/>
      <w:sz w:val="18"/>
      <w:szCs w:val="18"/>
    </w:rPr>
  </w:style>
  <w:style w:type="paragraph" w:styleId="font7">
    <w:name w:val="font7"/>
    <w:basedOn w:val="Normal"/>
    <w:qFormat/>
    <w:pPr>
      <w:spacing w:before="280" w:after="280"/>
    </w:pPr>
    <w:rPr>
      <w:rFonts w:ascii="Arial" w:hAnsi="Arial" w:eastAsia="Arial Unicode MS" w:cs="Arial"/>
      <w:sz w:val="18"/>
      <w:szCs w:val="18"/>
    </w:rPr>
  </w:style>
  <w:style w:type="paragraph" w:styleId="font8">
    <w:name w:val="font8"/>
    <w:basedOn w:val="Normal"/>
    <w:qFormat/>
    <w:pPr>
      <w:spacing w:before="280" w:after="280"/>
    </w:pPr>
    <w:rPr>
      <w:rFonts w:ascii="Arial" w:hAnsi="Arial" w:eastAsia="Arial Unicode MS" w:cs="Arial"/>
      <w:i/>
      <w:iCs/>
      <w:sz w:val="18"/>
      <w:szCs w:val="18"/>
    </w:rPr>
  </w:style>
  <w:style w:type="paragraph" w:styleId="xl27">
    <w:name w:val="xl27"/>
    <w:basedOn w:val="Normal"/>
    <w:qFormat/>
    <w:pPr>
      <w:spacing w:before="280" w:after="280"/>
    </w:pPr>
    <w:rPr>
      <w:rFonts w:ascii="Arial" w:hAnsi="Arial" w:eastAsia="Arial Unicode MS" w:cs="Arial"/>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image" Target="media/image2.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3.png"/><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2001-04-30T12:47:00Z</dcterms:created>
  <dc:creator>Rishad Patel</dc:creator>
  <dc:description/>
  <dc:language>en-CA</dc:language>
  <cp:lastModifiedBy>Rishad Patel</cp:lastModifiedBy>
  <dcterms:modified xsi:type="dcterms:W3CDTF">2001-04-30T12:49:00Z</dcterms:modified>
  <cp:revision>3</cp:revision>
  <dc:subject/>
  <dc:title>Executive Summary</dc:title>
</cp:coreProperties>
</file>