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rPr>
          <w:b/>
          <w:sz w:val="16"/>
        </w:rPr>
      </w:pPr>
      <w:r>
        <w:rPr>
          <w:b/>
          <w:sz w:val="16"/>
        </w:rPr>
      </w:r>
    </w:p>
    <w:tbl>
      <w:tblPr>
        <w:tblW w:w="9833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1"/>
        <w:gridCol w:w="2977"/>
        <w:gridCol w:w="2976"/>
        <w:gridCol w:w="3119"/>
      </w:tblGrid>
      <w:tr>
        <w:trPr/>
        <w:tc>
          <w:tcPr>
            <w:tcW w:w="761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72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Energy In Europe Congress</w:t>
            </w:r>
          </w:p>
          <w:p>
            <w:pPr>
              <w:pStyle w:val="Normal"/>
              <w:shd w:fill="FFFFFF" w:val="clear"/>
              <w:spacing w:before="60" w:after="60"/>
              <w:jc w:val="center"/>
              <w:rPr/>
            </w:pPr>
            <w:r>
              <w:rPr>
                <w:b/>
                <w:sz w:val="22"/>
              </w:rPr>
              <w:t>20</w:t>
            </w:r>
            <w:r>
              <w:rPr>
                <w:b/>
                <w:sz w:val="22"/>
                <w:vertAlign w:val="superscript"/>
              </w:rPr>
              <w:t>th</w:t>
            </w:r>
            <w:r>
              <w:rPr>
                <w:b/>
                <w:sz w:val="22"/>
              </w:rPr>
              <w:t>-22</w:t>
            </w:r>
            <w:r>
              <w:rPr>
                <w:b/>
                <w:sz w:val="22"/>
                <w:vertAlign w:val="superscript"/>
              </w:rPr>
              <w:t>nd</w:t>
            </w:r>
            <w:r>
              <w:rPr>
                <w:b/>
                <w:sz w:val="22"/>
              </w:rPr>
              <w:t xml:space="preserve"> June 2000, Berlin</w:t>
            </w:r>
          </w:p>
        </w:tc>
      </w:tr>
      <w:tr>
        <w:trPr/>
        <w:tc>
          <w:tcPr>
            <w:tcW w:w="761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9072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sz w:val="22"/>
              </w:rPr>
              <w:t>Main Conference: Tuesday 20</w:t>
            </w:r>
            <w:r>
              <w:rPr>
                <w:b/>
                <w:i/>
                <w:sz w:val="22"/>
                <w:vertAlign w:val="superscript"/>
              </w:rPr>
              <w:t>th</w:t>
            </w:r>
            <w:r>
              <w:rPr>
                <w:b/>
                <w:i/>
                <w:sz w:val="22"/>
              </w:rPr>
              <w:t xml:space="preserve"> June 2000</w:t>
            </w:r>
          </w:p>
        </w:tc>
      </w:tr>
      <w:tr>
        <w:trPr/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9.00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before="60" w:after="60"/>
              <w:jc w:val="center"/>
              <w:rPr/>
            </w:pPr>
            <w:r>
              <w:rPr>
                <w:b/>
              </w:rPr>
              <w:t xml:space="preserve">Chairman’s Welcome: </w:t>
            </w:r>
            <w:r>
              <w:rPr>
                <w:b/>
                <w:lang w:eastAsia="en-US"/>
              </w:rPr>
              <w:t xml:space="preserve">Juergen Bonn, </w:t>
            </w:r>
            <w:r>
              <w:rPr>
                <w:i/>
                <w:lang w:eastAsia="en-US"/>
              </w:rPr>
              <w:t>Principal, Energy Practice Leader</w:t>
            </w:r>
            <w:r>
              <w:rPr>
                <w:b/>
              </w:rPr>
              <w:t>, Deloitte Consulting</w:t>
            </w:r>
          </w:p>
        </w:tc>
      </w:tr>
      <w:tr>
        <w:trPr>
          <w:trHeight w:val="403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9.15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 xml:space="preserve">Examining The Critical Factors For Successful Expansion As A Multi-Service Company 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>In Europe’s Liberalising Energy Market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Paul van Son, </w:t>
            </w:r>
            <w:r>
              <w:rPr>
                <w:i/>
              </w:rPr>
              <w:t>Chairman,</w:t>
            </w:r>
            <w:r>
              <w:rPr>
                <w:b/>
              </w:rPr>
              <w:t xml:space="preserve"> ENTRADE</w:t>
            </w:r>
          </w:p>
        </w:tc>
      </w:tr>
      <w:tr>
        <w:trPr>
          <w:trHeight w:val="410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>e-Business And Energy – Impact On The Future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/>
            </w:pPr>
            <w:r>
              <w:rPr/>
              <w:t xml:space="preserve">Gilbert Toppin, </w:t>
            </w:r>
            <w:r>
              <w:rPr>
                <w:b w:val="false"/>
                <w:i/>
              </w:rPr>
              <w:t>Principal,</w:t>
            </w:r>
            <w:r>
              <w:rPr/>
              <w:t xml:space="preserve"> DELOITTE CONSULTING</w:t>
            </w:r>
          </w:p>
        </w:tc>
      </w:tr>
      <w:tr>
        <w:trPr>
          <w:trHeight w:val="109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10.40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  <w:i/>
                <w:i/>
                <w:sz w:val="18"/>
              </w:rPr>
            </w:pPr>
            <w:r>
              <w:rPr>
                <w:b w:val="false"/>
                <w:i/>
                <w:sz w:val="18"/>
              </w:rPr>
              <w:t>Morning Tea</w:t>
            </w:r>
          </w:p>
        </w:tc>
      </w:tr>
      <w:tr>
        <w:trPr>
          <w:trHeight w:val="557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11.05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  <w:lang w:eastAsia="en-US"/>
              </w:rPr>
              <w:t>Facilitating Trade In A Liberalised Electricity Market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Dr. Stefan Gewaltig, </w:t>
            </w:r>
            <w:r>
              <w:rPr>
                <w:lang w:eastAsia="en-US"/>
              </w:rPr>
              <w:t>DG Energy and Transport, Unit Internal Market Issues,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EUROPEAN COMMISSION</w:t>
            </w:r>
          </w:p>
        </w:tc>
      </w:tr>
      <w:tr>
        <w:trPr>
          <w:trHeight w:val="557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11.40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 xml:space="preserve">Overcoming The Obstacles To Creating A Competitive Energy 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>Trading Environment In Europe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Markus Suessmann, </w:t>
            </w:r>
            <w:r>
              <w:rPr>
                <w:i/>
              </w:rPr>
              <w:t>CEO,</w:t>
            </w:r>
            <w:r>
              <w:rPr>
                <w:b/>
              </w:rPr>
              <w:t xml:space="preserve"> ENBW</w:t>
            </w:r>
          </w:p>
        </w:tc>
      </w:tr>
      <w:tr>
        <w:trPr>
          <w:trHeight w:val="409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12.15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BodyText"/>
              <w:shd w:fill="FFFFFF" w:val="clear"/>
              <w:tabs>
                <w:tab w:val="clear" w:pos="720"/>
                <w:tab w:val="left" w:pos="4860" w:leader="none"/>
              </w:tabs>
              <w:rPr>
                <w:b w:val="false"/>
                <w:sz w:val="20"/>
                <w:lang w:eastAsia="en-US"/>
              </w:rPr>
            </w:pPr>
            <w:r>
              <w:rPr>
                <w:b w:val="false"/>
                <w:sz w:val="20"/>
                <w:lang w:eastAsia="en-US"/>
              </w:rPr>
              <w:t xml:space="preserve">The Recent Mergers Of Germany's Major Utilities: </w:t>
            </w:r>
          </w:p>
          <w:p>
            <w:pPr>
              <w:pStyle w:val="BodyText"/>
              <w:shd w:fill="FFFFFF" w:val="clear"/>
              <w:tabs>
                <w:tab w:val="clear" w:pos="720"/>
                <w:tab w:val="left" w:pos="4860" w:leader="none"/>
              </w:tabs>
              <w:rPr>
                <w:b w:val="false"/>
                <w:sz w:val="20"/>
              </w:rPr>
            </w:pPr>
            <w:r>
              <w:rPr>
                <w:b w:val="false"/>
                <w:sz w:val="20"/>
                <w:lang w:eastAsia="en-US"/>
              </w:rPr>
              <w:t>Issues And Impacts On Competition</w:t>
            </w:r>
          </w:p>
          <w:p>
            <w:pPr>
              <w:pStyle w:val="BodyText"/>
              <w:shd w:fill="FFFFFF" w:val="clear"/>
              <w:tabs>
                <w:tab w:val="clear" w:pos="720"/>
                <w:tab w:val="left" w:pos="4860" w:leader="none"/>
              </w:tabs>
              <w:rPr/>
            </w:pPr>
            <w:r>
              <w:rPr>
                <w:sz w:val="20"/>
              </w:rPr>
              <w:t>Dr. Richard Klein,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i/>
                <w:sz w:val="20"/>
              </w:rPr>
              <w:t>Member of the Board,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sz w:val="20"/>
              </w:rPr>
              <w:t>RWE</w:t>
            </w:r>
          </w:p>
        </w:tc>
      </w:tr>
      <w:tr>
        <w:trPr>
          <w:trHeight w:val="153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12.50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Lunch</w:t>
            </w:r>
          </w:p>
        </w:tc>
      </w:tr>
      <w:tr>
        <w:trPr>
          <w:trHeight w:val="153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Cutting-Edge Developments In European Energy</w:t>
            </w:r>
          </w:p>
        </w:tc>
        <w:tc>
          <w:tcPr>
            <w:tcW w:w="297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Regional Developments In Energy </w:t>
            </w:r>
          </w:p>
        </w:tc>
        <w:tc>
          <w:tcPr>
            <w:tcW w:w="3119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Risk Management &amp; Trading Strategies For The Power Industry</w:t>
            </w:r>
          </w:p>
        </w:tc>
      </w:tr>
      <w:tr>
        <w:trPr>
          <w:trHeight w:val="731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14.00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NextGeneration: Building On Success</w:t>
            </w:r>
          </w:p>
          <w:p>
            <w:pPr>
              <w:pStyle w:val="BodyText"/>
              <w:shd w:fill="FFFFFF" w:val="clear"/>
              <w:rPr/>
            </w:pPr>
            <w:r>
              <w:rPr>
                <w:sz w:val="16"/>
              </w:rPr>
              <w:t xml:space="preserve">Barry Dyson, </w:t>
            </w:r>
            <w:r>
              <w:rPr>
                <w:b w:val="false"/>
                <w:i/>
                <w:sz w:val="16"/>
              </w:rPr>
              <w:t>Principal</w:t>
            </w:r>
            <w:r>
              <w:rPr>
                <w:sz w:val="16"/>
              </w:rPr>
              <w:t xml:space="preserve"> &amp; Ron Bloomfield, </w:t>
            </w:r>
            <w:r>
              <w:rPr>
                <w:b w:val="false"/>
                <w:i/>
                <w:sz w:val="16"/>
              </w:rPr>
              <w:t>Principal,</w:t>
            </w:r>
            <w:r>
              <w:rPr>
                <w:sz w:val="16"/>
              </w:rPr>
              <w:t xml:space="preserve"> DELOITTE CONSULTING</w:t>
            </w:r>
          </w:p>
        </w:tc>
        <w:tc>
          <w:tcPr>
            <w:tcW w:w="29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1"/>
              <w:shd w:fill="FFFFFF" w:val="clear"/>
              <w:spacing w:before="60" w:after="60"/>
              <w:ind w:hanging="0" w:start="0"/>
              <w:jc w:val="center"/>
              <w:rPr>
                <w:b w:val="false"/>
                <w:sz w:val="16"/>
                <w:u w:val="none"/>
              </w:rPr>
            </w:pPr>
            <w:r>
              <w:rPr>
                <w:b w:val="false"/>
                <w:sz w:val="16"/>
                <w:u w:val="none"/>
              </w:rPr>
              <w:t>Nuclear Decommissioning: Assessing The Impact On Competition In Sweden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Nils Andersson, </w:t>
            </w:r>
            <w:r>
              <w:rPr>
                <w:i/>
                <w:sz w:val="16"/>
              </w:rPr>
              <w:t>Managing Director,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SWEDISH POWER ASSOCIATION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8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BodyText3"/>
              <w:shd w:fill="FFFFFF" w:val="clear"/>
              <w:jc w:val="center"/>
              <w:rPr>
                <w:b w:val="false"/>
                <w:i w:val="false"/>
                <w:i w:val="false"/>
                <w:sz w:val="16"/>
                <w:u w:val="none"/>
              </w:rPr>
            </w:pPr>
            <w:r>
              <w:rPr>
                <w:b w:val="false"/>
                <w:i w:val="false"/>
                <w:sz w:val="16"/>
                <w:u w:val="none"/>
              </w:rPr>
              <w:t>Strategies For Effectively Identifying &amp; Measuring Risk In Electricity Markets</w:t>
            </w:r>
          </w:p>
          <w:p>
            <w:pPr>
              <w:pStyle w:val="Heading3"/>
              <w:shd w:fill="FFFFFF" w:val="clear"/>
              <w:ind w:hanging="0" w:start="0"/>
              <w:rPr/>
            </w:pPr>
            <w:r>
              <w:rPr>
                <w:sz w:val="16"/>
              </w:rPr>
              <w:t xml:space="preserve">Brian Johnson, </w:t>
            </w:r>
            <w:r>
              <w:rPr>
                <w:b w:val="false"/>
                <w:i/>
                <w:sz w:val="16"/>
              </w:rPr>
              <w:t>Director, Financial Risk Advisory,</w:t>
            </w:r>
            <w:r>
              <w:rPr>
                <w:sz w:val="16"/>
              </w:rPr>
              <w:t xml:space="preserve"> CAMINUS</w:t>
            </w:r>
          </w:p>
        </w:tc>
      </w:tr>
      <w:tr>
        <w:trPr>
          <w:trHeight w:val="2225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14.35</w:t>
            </w:r>
          </w:p>
        </w:tc>
        <w:tc>
          <w:tcPr>
            <w:tcW w:w="2977" w:type="dxa"/>
            <w:vMerge w:val="restart"/>
            <w:tcBorders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hd w:fill="FFFFFF" w:val="clear"/>
              <w:rPr>
                <w:sz w:val="20"/>
              </w:rPr>
            </w:pPr>
            <w:r>
              <w:rPr>
                <w:sz w:val="20"/>
              </w:rPr>
              <w:t>NEW POWER EXCHANGES</w:t>
            </w:r>
          </w:p>
          <w:p>
            <w:pPr>
              <w:pStyle w:val="ReturnAddress"/>
              <w:shd w:fill="FFFFFF" w:val="clear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lang w:eastAsia="en-US"/>
              </w:rPr>
            </w:r>
          </w:p>
          <w:p>
            <w:pPr>
              <w:pStyle w:val="ReturnAddress"/>
              <w:shd w:fill="FFFFFF"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An Overview About Concept And Realization Of LPX</w:t>
            </w:r>
          </w:p>
          <w:p>
            <w:pPr>
              <w:pStyle w:val="BodyText"/>
              <w:shd w:fill="FFFFFF" w:val="clear"/>
              <w:rPr>
                <w:sz w:val="16"/>
              </w:rPr>
            </w:pPr>
            <w:r>
              <w:rPr>
                <w:sz w:val="16"/>
              </w:rPr>
              <w:t>Dr Carlhans Uhle</w:t>
            </w:r>
          </w:p>
          <w:p>
            <w:pPr>
              <w:pStyle w:val="BodyText"/>
              <w:shd w:fill="FFFFFF" w:val="clear"/>
              <w:rPr>
                <w:b w:val="false"/>
                <w:i/>
                <w:i/>
                <w:sz w:val="16"/>
              </w:rPr>
            </w:pPr>
            <w:r>
              <w:rPr>
                <w:b w:val="false"/>
                <w:i/>
                <w:sz w:val="16"/>
              </w:rPr>
              <w:t>CEO</w:t>
            </w:r>
          </w:p>
          <w:p>
            <w:pPr>
              <w:pStyle w:val="BodyText"/>
              <w:shd w:fill="FFFFFF" w:val="clear"/>
              <w:rPr>
                <w:sz w:val="16"/>
              </w:rPr>
            </w:pPr>
            <w:r>
              <w:rPr>
                <w:sz w:val="16"/>
              </w:rPr>
              <w:t>LPX</w:t>
            </w:r>
          </w:p>
          <w:p>
            <w:pPr>
              <w:pStyle w:val="Normal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</w:r>
          </w:p>
          <w:p>
            <w:pPr>
              <w:pStyle w:val="Normal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Understanding The Need Of The Market Participants For A</w:t>
            </w:r>
          </w:p>
          <w:p>
            <w:pPr>
              <w:pStyle w:val="ReturnAddress"/>
              <w:shd w:fill="FFFFFF"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European Energy Exchange</w:t>
            </w:r>
          </w:p>
          <w:p>
            <w:pPr>
              <w:pStyle w:val="Heading3"/>
              <w:shd w:fill="FFFFFF" w:val="clear"/>
              <w:ind w:hanging="0" w:start="0"/>
              <w:rPr>
                <w:sz w:val="16"/>
              </w:rPr>
            </w:pPr>
            <w:r>
              <w:rPr>
                <w:sz w:val="16"/>
              </w:rPr>
              <w:t>Christian Geyer</w:t>
            </w:r>
          </w:p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Member of the Board</w:t>
            </w:r>
          </w:p>
          <w:p>
            <w:pPr>
              <w:pStyle w:val="Heading3"/>
              <w:shd w:fill="FFFFFF" w:val="clear"/>
              <w:ind w:hanging="0" w:start="0"/>
              <w:rPr>
                <w:sz w:val="16"/>
              </w:rPr>
            </w:pPr>
            <w:r>
              <w:rPr>
                <w:sz w:val="16"/>
              </w:rPr>
              <w:t>EEX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The Polish Power Exchange: Outlining It’s Structure And Products &amp; Assessing It’s Impact On Poland’s Growing 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Energy Market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Javier Alonso</w:t>
            </w:r>
          </w:p>
          <w:p>
            <w:pPr>
              <w:pStyle w:val="Normal"/>
              <w:jc w:val="center"/>
              <w:rPr>
                <w:b/>
                <w:i/>
                <w:i/>
                <w:sz w:val="16"/>
              </w:rPr>
            </w:pPr>
            <w:r>
              <w:rPr>
                <w:i/>
                <w:sz w:val="16"/>
              </w:rPr>
              <w:t>President of the Board of Management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POLISH POWER EXCHANGE</w:t>
            </w:r>
          </w:p>
        </w:tc>
        <w:tc>
          <w:tcPr>
            <w:tcW w:w="2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Assessing The Future Direction Of 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The Nordic Market</w:t>
            </w:r>
          </w:p>
          <w:p>
            <w:pPr>
              <w:pStyle w:val="Heading3"/>
              <w:shd w:fill="FFFFFF" w:val="clear"/>
              <w:ind w:hanging="0" w:start="0"/>
              <w:rPr>
                <w:sz w:val="16"/>
              </w:rPr>
            </w:pPr>
            <w:r>
              <w:rPr>
                <w:sz w:val="16"/>
              </w:rPr>
              <w:t xml:space="preserve">Harald von Heyden, 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i/>
                <w:i/>
                <w:sz w:val="16"/>
              </w:rPr>
            </w:pPr>
            <w:r>
              <w:rPr>
                <w:b w:val="false"/>
                <w:i/>
                <w:sz w:val="16"/>
              </w:rPr>
              <w:t xml:space="preserve">Managing Director, 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i/>
                <w:i/>
                <w:sz w:val="16"/>
              </w:rPr>
            </w:pPr>
            <w:r>
              <w:rPr>
                <w:sz w:val="16"/>
              </w:rPr>
              <w:t>STATKRAFT</w:t>
            </w:r>
          </w:p>
        </w:tc>
        <w:tc>
          <w:tcPr>
            <w:tcW w:w="3119" w:type="dxa"/>
            <w:vMerge w:val="restart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/>
            </w:pPr>
            <w:r>
              <w:rPr/>
              <w:t>Specially Extended Session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Advanced Techniques 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For Pricing And Hedging 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Exotic Energy Options And Cross-Commodities Portfolios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Prof. Hélyette Geman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  <w:sz w:val="16"/>
              </w:rPr>
              <w:t>Professor of Finance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ESSEC GRADUATE BUSINESS SCHOOL &amp; 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UNIVERSITY PARIS DAUPHINE</w:t>
            </w:r>
          </w:p>
        </w:tc>
      </w:tr>
      <w:tr>
        <w:trPr>
          <w:trHeight w:val="1548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15.10</w:t>
            </w:r>
          </w:p>
        </w:tc>
        <w:tc>
          <w:tcPr>
            <w:tcW w:w="2977" w:type="dxa"/>
            <w:vMerge w:val="continue"/>
            <w:tcBorders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numPr>
                <w:ilvl w:val="0"/>
                <w:numId w:val="0"/>
              </w:numPr>
              <w:shd w:fill="FFFFFF" w:val="clear"/>
              <w:snapToGrid w:val="false"/>
              <w:ind w:hanging="0" w:star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jc w:val="center"/>
              <w:rPr>
                <w:sz w:val="16"/>
              </w:rPr>
            </w:pPr>
            <w:r>
              <w:rPr>
                <w:sz w:val="16"/>
              </w:rPr>
              <w:t>UK</w:t>
            </w:r>
          </w:p>
          <w:p>
            <w:pPr>
              <w:pStyle w:val="Normal"/>
              <w:shd w:fill="FFFFFF" w:val="clear"/>
              <w:jc w:val="center"/>
              <w:rPr>
                <w:sz w:val="16"/>
              </w:rPr>
            </w:pPr>
            <w:r>
              <w:rPr>
                <w:sz w:val="16"/>
              </w:rPr>
              <w:t>Strategies For Effectively Assessing &amp; Managing A Power Company’s Increased Exposure To Risk Following The Implementation Of NETA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sz w:val="16"/>
              </w:rPr>
              <w:t xml:space="preserve">Robert Longden, </w:t>
            </w:r>
            <w:r>
              <w:rPr>
                <w:b w:val="false"/>
                <w:i/>
                <w:sz w:val="16"/>
              </w:rPr>
              <w:t xml:space="preserve">Portfolio &amp; Risk Manager, </w:t>
            </w:r>
            <w:r>
              <w:rPr>
                <w:sz w:val="16"/>
              </w:rPr>
              <w:t>POWERGEN</w:t>
            </w:r>
          </w:p>
        </w:tc>
        <w:tc>
          <w:tcPr>
            <w:tcW w:w="3119" w:type="dxa"/>
            <w:vMerge w:val="continue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3"/>
              <w:numPr>
                <w:ilvl w:val="0"/>
                <w:numId w:val="0"/>
              </w:numPr>
              <w:shd w:fill="FFFFFF" w:val="clear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</w:tr>
      <w:tr>
        <w:trPr>
          <w:trHeight w:val="1536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>
                <w:b w:val="false"/>
              </w:rPr>
            </w:pPr>
            <w:r>
              <w:rPr>
                <w:b w:val="false"/>
              </w:rPr>
              <w:t>15.45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jc w:val="center"/>
              <w:rPr>
                <w:sz w:val="16"/>
              </w:rPr>
            </w:pPr>
            <w:r>
              <w:rPr>
                <w:sz w:val="16"/>
              </w:rPr>
              <w:t>Marketing Ecotricity</w:t>
            </w:r>
          </w:p>
          <w:p>
            <w:pPr>
              <w:pStyle w:val="Normal"/>
              <w:shd w:fill="FFFFFF" w:val="clear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Dale Vince, </w:t>
            </w:r>
            <w:r>
              <w:rPr>
                <w:i/>
                <w:sz w:val="16"/>
              </w:rPr>
              <w:t>Managing Director,</w:t>
            </w:r>
          </w:p>
          <w:p>
            <w:pPr>
              <w:pStyle w:val="Normal"/>
              <w:shd w:fill="FFFFFF" w:val="clear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sz w:val="16"/>
              </w:rPr>
              <w:t>THE RENEWABLE ENERGY COMPANY</w:t>
            </w:r>
          </w:p>
          <w:p>
            <w:pPr>
              <w:pStyle w:val="Normal"/>
              <w:shd w:fill="FFFFFF" w:val="clear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  <w:p>
            <w:pPr>
              <w:pStyle w:val="Normal"/>
              <w:shd w:fill="FFFFFF" w:val="clear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29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hd w:fill="FFFFFF" w:val="clea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Assessing The Current Status And Future Development Of Denmark’s </w:t>
            </w:r>
          </w:p>
          <w:p>
            <w:pPr>
              <w:pStyle w:val="BodyText"/>
              <w:shd w:fill="FFFFFF" w:val="clea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Energy Market</w:t>
            </w:r>
          </w:p>
          <w:p>
            <w:pPr>
              <w:pStyle w:val="BodyText"/>
              <w:shd w:fill="FFFFFF" w:val="clear"/>
              <w:rPr/>
            </w:pPr>
            <w:r>
              <w:rPr>
                <w:sz w:val="16"/>
              </w:rPr>
              <w:t xml:space="preserve">Lene Somme, </w:t>
            </w:r>
            <w:r>
              <w:rPr>
                <w:b w:val="false"/>
                <w:i/>
                <w:sz w:val="16"/>
              </w:rPr>
              <w:t>Head of Market Administration,</w:t>
            </w:r>
            <w:r>
              <w:rPr>
                <w:sz w:val="16"/>
              </w:rPr>
              <w:t xml:space="preserve"> ELKRAFT</w:t>
            </w:r>
          </w:p>
        </w:tc>
        <w:tc>
          <w:tcPr>
            <w:tcW w:w="311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12" w:space="0" w:color="000000"/>
            </w:tcBorders>
            <w:shd w:fill="FFFFFF" w:val="clear"/>
          </w:tcPr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sz w:val="16"/>
              </w:rPr>
              <w:t>WEATHER RISK MASTERCLASS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Examining New Models For Successfully Measuring &amp; Managing Weather Risk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Issues In Assessing Weather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Derivative Values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b/>
                <w:color w:val="000000"/>
                <w:sz w:val="16"/>
                <w:lang w:eastAsia="en-US"/>
              </w:rPr>
              <w:t xml:space="preserve">Dr.  Robert Dischel, </w:t>
            </w:r>
            <w:r>
              <w:rPr>
                <w:i/>
                <w:color w:val="000000"/>
                <w:sz w:val="16"/>
                <w:lang w:eastAsia="en-US"/>
              </w:rPr>
              <w:t>Meteorologist,</w:t>
            </w:r>
            <w:r>
              <w:rPr>
                <w:b/>
                <w:color w:val="000000"/>
                <w:sz w:val="16"/>
                <w:lang w:eastAsia="en-US"/>
              </w:rPr>
              <w:t xml:space="preserve"> WXPX.COM</w:t>
            </w:r>
          </w:p>
        </w:tc>
      </w:tr>
      <w:tr>
        <w:trPr>
          <w:trHeight w:val="148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rPr>
                <w:sz w:val="16"/>
              </w:rPr>
            </w:pPr>
            <w:r>
              <w:rPr>
                <w:sz w:val="16"/>
              </w:rPr>
              <w:t>16.30</w:t>
            </w:r>
          </w:p>
        </w:tc>
        <w:tc>
          <w:tcPr>
            <w:tcW w:w="9072" w:type="dxa"/>
            <w:gridSpan w:val="3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Afternoon Tea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rPr>
                <w:sz w:val="16"/>
              </w:rPr>
            </w:pPr>
            <w:r>
              <w:rPr>
                <w:sz w:val="16"/>
              </w:rPr>
              <w:t>17.00</w:t>
            </w:r>
          </w:p>
        </w:tc>
        <w:tc>
          <w:tcPr>
            <w:tcW w:w="297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1"/>
              <w:shd w:fill="FFFFFF" w:val="clear"/>
              <w:spacing w:before="60" w:after="60"/>
              <w:ind w:hanging="0" w:start="0"/>
              <w:jc w:val="center"/>
              <w:rPr>
                <w:b w:val="false"/>
                <w:sz w:val="16"/>
                <w:u w:val="none"/>
              </w:rPr>
            </w:pPr>
            <w:r>
              <w:rPr>
                <w:b w:val="false"/>
                <w:sz w:val="16"/>
                <w:u w:val="none"/>
              </w:rPr>
              <w:t>The Scope Of Price Indices And Their Application To Improve Liquidity</w:t>
            </w:r>
          </w:p>
          <w:p>
            <w:pPr>
              <w:pStyle w:val="Normal"/>
              <w:shd w:fill="FFFFFF" w:val="clear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Klaus Petzel, </w:t>
            </w:r>
            <w:r>
              <w:rPr>
                <w:i/>
                <w:sz w:val="16"/>
              </w:rPr>
              <w:t>Editor of Data/Indexes</w:t>
            </w:r>
          </w:p>
          <w:p>
            <w:pPr>
              <w:pStyle w:val="Normal"/>
              <w:shd w:fill="FFFFFF" w:val="clear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DOW JONES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jc w:val="center"/>
              <w:rPr>
                <w:sz w:val="16"/>
              </w:rPr>
            </w:pPr>
            <w:r>
              <w:rPr>
                <w:sz w:val="16"/>
              </w:rPr>
              <w:t>Emissions Trading: The CBI/ACBE Proposals For The UK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 xml:space="preserve">Dr. Bill Kyte, </w:t>
            </w:r>
            <w:r>
              <w:rPr>
                <w:i/>
                <w:sz w:val="16"/>
              </w:rPr>
              <w:t>Head Corporate Environment,</w:t>
            </w:r>
            <w:r>
              <w:rPr>
                <w:b/>
                <w:sz w:val="16"/>
              </w:rPr>
              <w:t xml:space="preserve"> POWERGEN</w:t>
            </w:r>
          </w:p>
        </w:tc>
        <w:tc>
          <w:tcPr>
            <w:tcW w:w="3119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Continued MasterClass</w:t>
            </w:r>
          </w:p>
          <w:p>
            <w:pPr>
              <w:pStyle w:val="Normal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Weather Derivatives: 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sz w:val="16"/>
                <w:lang w:eastAsia="en-US"/>
              </w:rPr>
              <w:t>Generating Better Revenues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 xml:space="preserve">Rob Preston, </w:t>
            </w:r>
            <w:r>
              <w:rPr>
                <w:i/>
                <w:sz w:val="16"/>
              </w:rPr>
              <w:t xml:space="preserve">Director, 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SPEEDWELL DERIVATIVES</w:t>
            </w:r>
          </w:p>
        </w:tc>
      </w:tr>
      <w:tr>
        <w:trPr>
          <w:trHeight w:val="369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17.35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Heading6"/>
              <w:shd w:fill="FFFFFF" w:val="clear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Understanding The Dutch Government’s Agenda For Speeding Up The Liberalisation Process</w:t>
            </w:r>
          </w:p>
          <w:p>
            <w:pPr>
              <w:pStyle w:val="Heading6"/>
              <w:shd w:fill="FFFFFF" w:val="clear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Arend Hermans, </w:t>
            </w:r>
            <w:r>
              <w:rPr>
                <w:b w:val="false"/>
                <w:i/>
                <w:sz w:val="16"/>
              </w:rPr>
              <w:t>Director of Energy Markets,</w:t>
            </w:r>
          </w:p>
          <w:p>
            <w:pPr>
              <w:pStyle w:val="Heading6"/>
              <w:shd w:fill="FFFFFF" w:val="clear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sz w:val="16"/>
              </w:rPr>
              <w:t>MINISTRY FOR ECONOMIC AFFAIRS, THE NETHERLANDS</w:t>
            </w:r>
          </w:p>
        </w:tc>
      </w:tr>
      <w:tr>
        <w:trPr>
          <w:trHeight w:val="271" w:hRule="atLeast"/>
        </w:trPr>
        <w:tc>
          <w:tcPr>
            <w:tcW w:w="76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18.15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BodyText"/>
              <w:shd w:fill="FFFFFF" w:val="clear"/>
              <w:rPr>
                <w:sz w:val="20"/>
              </w:rPr>
            </w:pPr>
            <w:r>
              <w:rPr>
                <w:sz w:val="20"/>
              </w:rPr>
              <w:t>Networking Cocktail &amp; Scenic Boat Trip Through Berlin</w:t>
            </w:r>
          </w:p>
        </w:tc>
      </w:tr>
    </w:tbl>
    <w:p>
      <w:pPr>
        <w:pStyle w:val="CommentText"/>
        <w:shd w:fill="FFFFFF" w:val="clear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shd w:fill="FFFFFF" w:val="clear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shd w:fill="FFFFFF" w:val="clear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shd w:fill="FFFFFF" w:val="clear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hd w:fill="FFFFFF" w:val="clear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hd w:fill="FFFFFF" w:val="clear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781" w:type="dxa"/>
        <w:jc w:val="start"/>
        <w:tblInd w:w="249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709"/>
        <w:gridCol w:w="4536"/>
        <w:gridCol w:w="4536"/>
      </w:tblGrid>
      <w:tr>
        <w:trPr/>
        <w:tc>
          <w:tcPr>
            <w:tcW w:w="709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9072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before="60" w:after="60"/>
              <w:jc w:val="center"/>
              <w:rPr/>
            </w:pPr>
            <w:r>
              <w:rPr>
                <w:b/>
                <w:i/>
                <w:sz w:val="24"/>
              </w:rPr>
              <w:t>Main Conference Day: Wednesday 21</w:t>
            </w:r>
            <w:r>
              <w:rPr>
                <w:b/>
                <w:i/>
                <w:sz w:val="24"/>
                <w:vertAlign w:val="superscript"/>
              </w:rPr>
              <w:t>st</w:t>
            </w:r>
            <w:r>
              <w:rPr>
                <w:b/>
                <w:i/>
                <w:sz w:val="24"/>
              </w:rPr>
              <w:t xml:space="preserve"> June 2000</w:t>
            </w:r>
          </w:p>
        </w:tc>
      </w:tr>
      <w:tr>
        <w:trPr>
          <w:trHeight w:val="166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9.00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/>
              <w:t xml:space="preserve">Chairman’s Opening Address: </w:t>
            </w:r>
            <w:r>
              <w:rPr>
                <w:b w:val="false"/>
              </w:rPr>
              <w:t xml:space="preserve">Chris Cragg, </w:t>
            </w:r>
            <w:r>
              <w:rPr/>
              <w:t>BP Amoco</w:t>
            </w:r>
            <w:r>
              <w:rPr>
                <w:lang w:eastAsia="en-US"/>
              </w:rPr>
              <w:t xml:space="preserve"> </w:t>
            </w:r>
          </w:p>
        </w:tc>
      </w:tr>
      <w:tr>
        <w:trPr>
          <w:trHeight w:val="166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9.15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snapToGrid w:val="false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 xml:space="preserve">Analysing Key Developments in Regulated and Negotiated TPA Across 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>Europe And Forecasting Industry Progress By 2002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sz w:val="16"/>
              </w:rPr>
            </w:pPr>
            <w:r>
              <w:rPr/>
              <w:t xml:space="preserve">Jürgen Stotz, </w:t>
            </w:r>
            <w:r>
              <w:rPr>
                <w:b w:val="false"/>
                <w:i/>
              </w:rPr>
              <w:t xml:space="preserve">President &amp; </w:t>
            </w:r>
            <w:r>
              <w:rPr>
                <w:b w:val="false"/>
                <w:i/>
                <w:lang w:eastAsia="en-US"/>
              </w:rPr>
              <w:t>Member of the Presidents' Council</w:t>
            </w:r>
            <w:r>
              <w:rPr>
                <w:b w:val="false"/>
                <w:i/>
              </w:rPr>
              <w:t xml:space="preserve">, </w:t>
            </w:r>
            <w:r>
              <w:rPr/>
              <w:t>UCTE &amp; ETSO</w:t>
            </w:r>
          </w:p>
        </w:tc>
      </w:tr>
      <w:tr>
        <w:trPr>
          <w:trHeight w:val="288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BodyText"/>
              <w:shd w:fill="FFFFFF" w:val="clear"/>
              <w:tabs>
                <w:tab w:val="clear" w:pos="720"/>
                <w:tab w:val="left" w:pos="4860" w:leader="none"/>
              </w:tabs>
              <w:rPr>
                <w:b w:val="false"/>
                <w:sz w:val="20"/>
              </w:rPr>
            </w:pPr>
            <w:r>
              <w:rPr>
                <w:b w:val="false"/>
                <w:sz w:val="20"/>
                <w:lang w:eastAsia="en-US"/>
              </w:rPr>
              <w:t>A Multi-Hub Europe In Power Trading: The Role Of Exchanges</w:t>
            </w:r>
          </w:p>
          <w:p>
            <w:pPr>
              <w:pStyle w:val="BodyText"/>
              <w:shd w:fill="FFFFFF" w:val="clear"/>
              <w:tabs>
                <w:tab w:val="clear" w:pos="720"/>
                <w:tab w:val="left" w:pos="4860" w:leader="none"/>
              </w:tabs>
              <w:rPr/>
            </w:pPr>
            <w:r>
              <w:rPr>
                <w:sz w:val="20"/>
              </w:rPr>
              <w:t xml:space="preserve">Bert den Ouden, </w:t>
            </w:r>
            <w:r>
              <w:rPr>
                <w:b w:val="false"/>
                <w:i/>
                <w:sz w:val="20"/>
              </w:rPr>
              <w:t>CEO,</w:t>
            </w:r>
            <w:r>
              <w:rPr>
                <w:sz w:val="20"/>
              </w:rPr>
              <w:t xml:space="preserve"> APX</w:t>
            </w:r>
          </w:p>
        </w:tc>
      </w:tr>
      <w:tr>
        <w:trPr>
          <w:trHeight w:val="65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10.40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  <w:i/>
                <w:i/>
                <w:sz w:val="18"/>
                <w:lang w:eastAsia="en-US"/>
              </w:rPr>
            </w:pPr>
            <w:r>
              <w:rPr>
                <w:b w:val="false"/>
                <w:i/>
                <w:sz w:val="18"/>
                <w:lang w:eastAsia="en-US"/>
              </w:rPr>
              <w:t>Morning Tea</w:t>
            </w:r>
          </w:p>
        </w:tc>
      </w:tr>
      <w:tr>
        <w:trPr>
          <w:trHeight w:val="437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11.05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snapToGrid w:val="false"/>
              <w:ind w:hanging="0" w:start="0"/>
              <w:jc w:val="center"/>
              <w:rPr>
                <w:b w:val="false"/>
                <w:sz w:val="16"/>
                <w:lang w:eastAsia="en-US"/>
              </w:rPr>
            </w:pPr>
            <w:r>
              <w:rPr>
                <w:b w:val="false"/>
                <w:sz w:val="16"/>
                <w:lang w:eastAsia="en-US"/>
              </w:rPr>
            </w:r>
          </w:p>
          <w:p>
            <w:pPr>
              <w:pStyle w:val="Heading2"/>
              <w:shd w:fill="FFFFFF" w:val="clear"/>
              <w:ind w:hanging="0" w:start="0"/>
              <w:jc w:val="center"/>
              <w:rPr/>
            </w:pPr>
            <w:r>
              <w:rPr>
                <w:b w:val="false"/>
                <w:lang w:eastAsia="en-US"/>
              </w:rPr>
              <w:t>Examining The Strategic Options Available To</w:t>
            </w:r>
            <w:r>
              <w:rPr>
                <w:rFonts w:cs="MS Sans Serif" w:ascii="MS Sans Serif" w:hAnsi="MS Sans Serif"/>
                <w:b w:val="false"/>
                <w:sz w:val="16"/>
                <w:lang w:eastAsia="en-US"/>
              </w:rPr>
              <w:t xml:space="preserve"> </w:t>
            </w:r>
            <w:r>
              <w:rPr>
                <w:b w:val="false"/>
                <w:lang w:eastAsia="en-US"/>
              </w:rPr>
              <w:t xml:space="preserve">Energy Companies In 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  <w:lang w:eastAsia="en-US"/>
              </w:rPr>
              <w:t>Fiercely Competitive Markets</w:t>
            </w:r>
          </w:p>
          <w:p>
            <w:pPr>
              <w:pStyle w:val="Heading3"/>
              <w:shd w:fill="FFFFFF" w:val="clear"/>
              <w:ind w:hanging="0" w:start="0"/>
              <w:rPr/>
            </w:pPr>
            <w:r>
              <w:rPr/>
              <w:t xml:space="preserve">Barney Rush, </w:t>
            </w:r>
            <w:r>
              <w:rPr>
                <w:b w:val="false"/>
                <w:i/>
                <w:lang w:eastAsia="en-US"/>
              </w:rPr>
              <w:t>CEO, Europe &amp; Senior Vice President</w:t>
            </w:r>
            <w:r>
              <w:rPr>
                <w:b w:val="false"/>
                <w:i/>
              </w:rPr>
              <w:t xml:space="preserve">, </w:t>
            </w:r>
            <w:r>
              <w:rPr/>
              <w:t>SOUTHERN ENERGY</w:t>
            </w:r>
          </w:p>
        </w:tc>
      </w:tr>
      <w:tr>
        <w:trPr>
          <w:trHeight w:val="820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11.45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 xml:space="preserve">Spanish Energy: Identifying And Assessing The Competitive Opportunities 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  <w:t>Offered By A Changing Market Structure</w:t>
            </w:r>
          </w:p>
          <w:p>
            <w:pPr>
              <w:pStyle w:val="Heading2"/>
              <w:shd w:fill="FFFFFF" w:val="clear"/>
              <w:ind w:hanging="0" w:start="0"/>
              <w:jc w:val="center"/>
              <w:rPr>
                <w:b w:val="false"/>
              </w:rPr>
            </w:pPr>
            <w:r>
              <w:rPr/>
              <w:t>Pedro Larrea,</w:t>
            </w:r>
            <w:r>
              <w:rPr>
                <w:b w:val="false"/>
              </w:rPr>
              <w:t xml:space="preserve"> </w:t>
            </w:r>
            <w:r>
              <w:rPr>
                <w:b w:val="false"/>
                <w:i/>
              </w:rPr>
              <w:t>Vice President, Energy Management,</w:t>
            </w:r>
            <w:r>
              <w:rPr>
                <w:b w:val="false"/>
              </w:rPr>
              <w:t xml:space="preserve"> </w:t>
            </w:r>
            <w:r>
              <w:rPr/>
              <w:t>ENDESA</w:t>
            </w:r>
          </w:p>
        </w:tc>
      </w:tr>
      <w:tr>
        <w:trPr>
          <w:trHeight w:val="415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12.25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Achieving A Sustainable Advantage - Midlands Electricity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lang w:eastAsia="en-US"/>
              </w:rPr>
              <w:t>Operations Transformation Journey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MIDLANDS ELECTRICITY</w:t>
            </w:r>
          </w:p>
        </w:tc>
      </w:tr>
      <w:tr>
        <w:trPr>
          <w:trHeight w:val="282" w:hRule="atLeast"/>
        </w:trPr>
        <w:tc>
          <w:tcPr>
            <w:tcW w:w="70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1.05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Heading1"/>
              <w:shd w:fill="FFFFFF" w:val="clear"/>
              <w:spacing w:before="60" w:after="60"/>
              <w:ind w:hanging="0" w:start="0"/>
              <w:jc w:val="center"/>
              <w:rPr>
                <w:b w:val="false"/>
                <w:i/>
                <w:i/>
                <w:sz w:val="16"/>
                <w:u w:val="none"/>
              </w:rPr>
            </w:pPr>
            <w:r>
              <w:rPr>
                <w:b w:val="false"/>
                <w:i/>
                <w:sz w:val="16"/>
                <w:u w:val="none"/>
              </w:rPr>
              <w:t>Lunch</w:t>
            </w:r>
          </w:p>
        </w:tc>
      </w:tr>
      <w:tr>
        <w:trPr>
          <w:trHeight w:val="520" w:hRule="atLeast"/>
        </w:trPr>
        <w:tc>
          <w:tcPr>
            <w:tcW w:w="709" w:type="dxa"/>
            <w:vMerge w:val="restart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2.30</w:t>
            </w:r>
          </w:p>
        </w:tc>
        <w:tc>
          <w:tcPr>
            <w:tcW w:w="4536" w:type="dxa"/>
            <w:tcBorders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>
                <w:sz w:val="18"/>
              </w:rPr>
            </w:pPr>
            <w:r>
              <w:rPr>
                <w:sz w:val="18"/>
              </w:rPr>
              <w:t>Strategies For Winning</w:t>
            </w:r>
          </w:p>
          <w:p>
            <w:pPr>
              <w:pStyle w:val="Heading3"/>
              <w:shd w:fill="FFFFFF" w:val="clear"/>
              <w:ind w:hanging="0" w:start="0"/>
              <w:rPr>
                <w:sz w:val="18"/>
              </w:rPr>
            </w:pPr>
            <w:r>
              <w:rPr>
                <w:sz w:val="18"/>
              </w:rPr>
              <w:t>And Retaining Customers</w:t>
            </w:r>
          </w:p>
        </w:tc>
        <w:tc>
          <w:tcPr>
            <w:tcW w:w="4536" w:type="dxa"/>
            <w:tcBorders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Assessing Competition &amp; Trading In</w:t>
            </w:r>
          </w:p>
          <w:p>
            <w:pPr>
              <w:pStyle w:val="ReturnAddress"/>
              <w:shd w:fill="FFFFFF" w:val="clear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The German Energy Market</w:t>
            </w:r>
            <w:r>
              <w:rPr>
                <w:rFonts w:cs="Times New Roman" w:ascii="Times New Roman" w:hAnsi="Times New Roman"/>
                <w:b/>
                <w:sz w:val="18"/>
                <w:lang w:eastAsia="en-US"/>
              </w:rPr>
              <w:t xml:space="preserve"> </w:t>
            </w:r>
          </w:p>
        </w:tc>
      </w:tr>
      <w:tr>
        <w:trPr>
          <w:trHeight w:val="1190" w:hRule="atLeast"/>
        </w:trPr>
        <w:tc>
          <w:tcPr>
            <w:tcW w:w="709" w:type="dxa"/>
            <w:vMerge w:val="continue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ing3"/>
              <w:shd w:fill="FFFFFF" w:val="clear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Customer Relationships: Understanding The New Energy Products and Services Required To Satisfy The Needs Of Europe’s Increasingly Informed &amp; Demanding Consumers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b/>
                <w:sz w:val="16"/>
                <w:lang w:eastAsia="en-US"/>
              </w:rPr>
              <w:t xml:space="preserve">David Roylance, </w:t>
            </w:r>
            <w:r>
              <w:rPr>
                <w:i/>
                <w:sz w:val="16"/>
                <w:lang w:eastAsia="en-US"/>
              </w:rPr>
              <w:t>Managing Director,</w:t>
            </w:r>
            <w:r>
              <w:rPr>
                <w:b/>
                <w:sz w:val="16"/>
                <w:lang w:eastAsia="en-US"/>
              </w:rPr>
              <w:t xml:space="preserve"> RELIANT ENERGY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BodyText"/>
              <w:shd w:fill="FFFFFF" w:val="clear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  <w:lang w:eastAsia="en-US"/>
              </w:rPr>
              <w:t>Transforming A Fragmented Market - M&amp;A In The German Electricity Industry</w:t>
            </w:r>
          </w:p>
          <w:p>
            <w:pPr>
              <w:pStyle w:val="BodyText"/>
              <w:shd w:fill="FFFFFF" w:val="clear"/>
              <w:rPr/>
            </w:pPr>
            <w:r>
              <w:rPr>
                <w:sz w:val="16"/>
              </w:rPr>
              <w:t xml:space="preserve">Dr. Yorch Dietrich, </w:t>
            </w:r>
            <w:r>
              <w:rPr>
                <w:b w:val="false"/>
                <w:i/>
                <w:sz w:val="16"/>
              </w:rPr>
              <w:t>Manager,</w:t>
            </w:r>
            <w:r>
              <w:rPr>
                <w:sz w:val="16"/>
              </w:rPr>
              <w:t xml:space="preserve"> DELOITTE CONSULTING</w:t>
            </w:r>
            <w:r>
              <w:rPr>
                <w:b w:val="false"/>
                <w:sz w:val="16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Talk  Title To Be Confirmed</w:t>
            </w:r>
          </w:p>
          <w:p>
            <w:pPr>
              <w:pStyle w:val="Heading3"/>
              <w:shd w:fill="FFFFFF" w:val="clear"/>
              <w:ind w:hanging="0" w:start="0"/>
              <w:rPr>
                <w:sz w:val="16"/>
              </w:rPr>
            </w:pPr>
            <w:r>
              <w:rPr>
                <w:sz w:val="16"/>
              </w:rPr>
              <w:t>ESRI Europe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BodyText"/>
              <w:shd w:fill="FFFFFF" w:val="clea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Determining The Effect Of Competing Exchanges On Trading &amp; Market Liquidity In Germany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 xml:space="preserve">Dr. Thomas Niedrig, </w:t>
            </w:r>
            <w:r>
              <w:rPr>
                <w:i/>
                <w:sz w:val="16"/>
              </w:rPr>
              <w:t>Vice Director Trading,</w:t>
            </w:r>
            <w:r>
              <w:rPr>
                <w:b/>
                <w:sz w:val="16"/>
              </w:rPr>
              <w:t xml:space="preserve"> VEW ENERGIE</w:t>
            </w:r>
          </w:p>
        </w:tc>
      </w:tr>
      <w:tr>
        <w:trPr>
          <w:trHeight w:val="630" w:hRule="atLeast"/>
        </w:trPr>
        <w:tc>
          <w:tcPr>
            <w:tcW w:w="709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3.30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 Risk Management &amp; Trading Strategies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</w:rPr>
              <w:t>For The Power Industry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BodyText"/>
              <w:shd w:fill="FFFFFF" w:val="clea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BodyText"/>
              <w:shd w:fill="FFFFFF" w:val="clea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Is The New Federation’s Agreement On TPA Promoting Competition In The German Electricity Markets </w:t>
            </w:r>
          </w:p>
          <w:p>
            <w:pPr>
              <w:pStyle w:val="BodyText"/>
              <w:shd w:fill="FFFFFF" w:val="clear"/>
              <w:rPr/>
            </w:pPr>
            <w:r>
              <w:rPr>
                <w:sz w:val="16"/>
              </w:rPr>
              <w:t xml:space="preserve">Dr. Florian Baentsch, </w:t>
            </w:r>
            <w:r>
              <w:rPr>
                <w:b w:val="false"/>
                <w:i/>
                <w:sz w:val="16"/>
              </w:rPr>
              <w:t>Manager of General Affairs,</w:t>
            </w:r>
            <w:r>
              <w:rPr>
                <w:sz w:val="16"/>
              </w:rPr>
              <w:t xml:space="preserve"> VIK</w:t>
            </w:r>
          </w:p>
        </w:tc>
      </w:tr>
      <w:tr>
        <w:trPr>
          <w:trHeight w:val="630" w:hRule="atLeast"/>
        </w:trPr>
        <w:tc>
          <w:tcPr>
            <w:tcW w:w="709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eading5"/>
              <w:shd w:fill="FFFFFF" w:val="clear"/>
              <w:ind w:hanging="0" w:start="0"/>
              <w:jc w:val="center"/>
              <w:rPr>
                <w:b w:val="false"/>
                <w:sz w:val="16"/>
                <w:u w:val="none"/>
              </w:rPr>
            </w:pPr>
            <w:r>
              <w:rPr>
                <w:b w:val="false"/>
                <w:sz w:val="16"/>
                <w:u w:val="none"/>
              </w:rPr>
              <w:t>Risk Management &amp; Trading For Energy Companies: Identifying The Most Effective Products For Successfully Hedging Your Portfolio</w:t>
            </w:r>
          </w:p>
          <w:p>
            <w:pPr>
              <w:pStyle w:val="Heading3"/>
              <w:shd w:fill="FFFFFF" w:val="clear"/>
              <w:ind w:hanging="0" w:start="0"/>
              <w:rPr>
                <w:b w:val="false"/>
                <w:sz w:val="16"/>
              </w:rPr>
            </w:pPr>
            <w:r>
              <w:rPr>
                <w:sz w:val="16"/>
              </w:rPr>
              <w:t>Dr. Brian Senior,</w:t>
            </w:r>
            <w:r>
              <w:rPr>
                <w:b w:val="false"/>
                <w:sz w:val="16"/>
              </w:rPr>
              <w:t xml:space="preserve"> </w:t>
            </w:r>
            <w:r>
              <w:rPr>
                <w:i/>
                <w:sz w:val="16"/>
              </w:rPr>
              <w:t>Risk Manager,</w:t>
            </w:r>
            <w:r>
              <w:rPr>
                <w:b w:val="false"/>
                <w:sz w:val="16"/>
              </w:rPr>
              <w:t xml:space="preserve"> </w:t>
            </w:r>
            <w:r>
              <w:rPr>
                <w:sz w:val="16"/>
              </w:rPr>
              <w:t>NATIONAL POWER</w:t>
            </w:r>
          </w:p>
        </w:tc>
        <w:tc>
          <w:tcPr>
            <w:tcW w:w="4536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>
          <w:trHeight w:val="178" w:hRule="atLeast"/>
        </w:trPr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4.00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Afternoon Tea</w:t>
            </w:r>
          </w:p>
        </w:tc>
      </w:tr>
      <w:tr>
        <w:trPr>
          <w:trHeight w:val="435" w:hRule="atLeast"/>
        </w:trPr>
        <w:tc>
          <w:tcPr>
            <w:tcW w:w="70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4.30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Determining The Most Effective Structure For Your Trading Business</w:t>
            </w:r>
          </w:p>
          <w:p>
            <w:pPr>
              <w:pStyle w:val="Normal"/>
              <w:shd w:fill="FFFFFF" w:val="clear"/>
              <w:jc w:val="center"/>
              <w:rPr/>
            </w:pPr>
            <w:r>
              <w:rPr>
                <w:b/>
                <w:sz w:val="16"/>
              </w:rPr>
              <w:t xml:space="preserve">Dr. Josef Wolf, </w:t>
            </w:r>
            <w:r>
              <w:rPr>
                <w:i/>
                <w:sz w:val="16"/>
              </w:rPr>
              <w:t>Director Supply &amp; Trading,</w:t>
            </w:r>
            <w:r>
              <w:rPr>
                <w:b/>
                <w:sz w:val="16"/>
              </w:rPr>
              <w:t xml:space="preserve"> VASA ENERGY</w:t>
            </w:r>
          </w:p>
        </w:tc>
        <w:tc>
          <w:tcPr>
            <w:tcW w:w="4536" w:type="dxa"/>
            <w:tcBorders>
              <w:top w:val="single" w:sz="8" w:space="0" w:color="000000"/>
              <w:start w:val="single" w:sz="6" w:space="0" w:color="000000"/>
              <w:bottom w:val="single" w:sz="8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ReturnAddress"/>
              <w:shd w:fill="FFFFFF" w:val="clear"/>
              <w:jc w:val="center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lang w:eastAsia="en-US"/>
              </w:rPr>
              <w:t>Clarifying Recent Developments In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lang w:eastAsia="en-US"/>
              </w:rPr>
              <w:t>Transmission &amp; Third Party Access</w:t>
            </w:r>
          </w:p>
        </w:tc>
      </w:tr>
      <w:tr>
        <w:trPr>
          <w:trHeight w:val="675" w:hRule="atLeast"/>
        </w:trPr>
        <w:tc>
          <w:tcPr>
            <w:tcW w:w="70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napToGrid w:val="false"/>
              <w:spacing w:before="6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536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36" w:type="dxa"/>
            <w:tcBorders>
              <w:top w:val="single" w:sz="8" w:space="0" w:color="000000"/>
              <w:start w:val="single" w:sz="6" w:space="0" w:color="000000"/>
              <w:bottom w:val="single" w:sz="8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Transmission Pricing: Understanding Price Caps and the Role of Benchmarking To Determine "Efficient Costs"'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eastAsia="en-US"/>
              </w:rPr>
              <w:t xml:space="preserve">Graham Shuttleworth, </w:t>
            </w:r>
            <w:r>
              <w:rPr>
                <w:i/>
                <w:sz w:val="16"/>
                <w:lang w:eastAsia="en-US"/>
              </w:rPr>
              <w:t>Director,</w:t>
            </w:r>
            <w:r>
              <w:rPr>
                <w:b/>
                <w:sz w:val="16"/>
                <w:lang w:eastAsia="en-US"/>
              </w:rPr>
              <w:t xml:space="preserve"> NERA</w:t>
            </w:r>
          </w:p>
        </w:tc>
      </w:tr>
      <w:tr>
        <w:trPr>
          <w:trHeight w:val="875" w:hRule="atLeast"/>
        </w:trPr>
        <w:tc>
          <w:tcPr>
            <w:tcW w:w="709" w:type="dxa"/>
            <w:tcBorders>
              <w:start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shd w:fill="FFFFFF" w:val="clea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Electronic &amp; Electricity Trading: The Risks, Costs And Potential Advantages </w:t>
            </w:r>
          </w:p>
          <w:p>
            <w:pPr>
              <w:pStyle w:val="Normal"/>
              <w:shd w:fill="FFFFFF" w:val="clear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Peter Louwes, </w:t>
            </w:r>
            <w:r>
              <w:rPr>
                <w:i/>
                <w:sz w:val="16"/>
              </w:rPr>
              <w:t xml:space="preserve">Director, </w:t>
            </w:r>
            <w:r>
              <w:rPr>
                <w:b/>
                <w:sz w:val="16"/>
              </w:rPr>
              <w:t>PREBON ENERGY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How Will The Issues Surrounding Existing Long-Term Contracts And Their Impact On Capacity &amp; TPA Be Resolved?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 xml:space="preserve">Robert Tudway, </w:t>
            </w:r>
            <w:r>
              <w:rPr>
                <w:i/>
                <w:sz w:val="16"/>
              </w:rPr>
              <w:t>Head of Energy &amp; Infrastructure Group,</w:t>
            </w:r>
            <w:r>
              <w:rPr>
                <w:b/>
                <w:sz w:val="16"/>
              </w:rPr>
              <w:t xml:space="preserve"> NABARRO NATHANSON</w:t>
            </w:r>
          </w:p>
        </w:tc>
      </w:tr>
      <w:tr>
        <w:trPr>
          <w:trHeight w:val="234" w:hRule="atLeast"/>
        </w:trPr>
        <w:tc>
          <w:tcPr>
            <w:tcW w:w="709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5.30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>
                <w:b w:val="false"/>
                <w:i/>
                <w:i/>
                <w:sz w:val="16"/>
              </w:rPr>
            </w:pPr>
            <w:r>
              <w:rPr>
                <w:b w:val="false"/>
                <w:i/>
                <w:sz w:val="16"/>
              </w:rPr>
              <w:t>Close of Conference</w:t>
            </w:r>
          </w:p>
        </w:tc>
      </w:tr>
      <w:tr>
        <w:trPr>
          <w:trHeight w:val="234" w:hRule="atLeast"/>
        </w:trPr>
        <w:tc>
          <w:tcPr>
            <w:tcW w:w="709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9.00-17.00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Heading3"/>
              <w:shd w:fill="FFFFFF" w:val="clear"/>
              <w:ind w:hanging="0" w:start="0"/>
              <w:rPr/>
            </w:pPr>
            <w:r>
              <w:rPr>
                <w:i/>
                <w:sz w:val="24"/>
              </w:rPr>
              <w:t>Thursday 22</w:t>
            </w:r>
            <w:r>
              <w:rPr>
                <w:i/>
                <w:sz w:val="24"/>
                <w:vertAlign w:val="superscript"/>
              </w:rPr>
              <w:t>nd</w:t>
            </w:r>
            <w:r>
              <w:rPr>
                <w:i/>
                <w:sz w:val="24"/>
              </w:rPr>
              <w:t xml:space="preserve"> June </w:t>
            </w:r>
          </w:p>
          <w:p>
            <w:pPr>
              <w:pStyle w:val="Normal"/>
              <w:jc w:val="center"/>
              <w:rPr/>
            </w:pPr>
            <w:r>
              <w:rPr/>
              <w:t>Workshop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Developing Profit-Driven e-Business Strategies For Energy Companies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Utility Retailing In Cyberspace: Finding The Path To Profits</w:t>
            </w:r>
          </w:p>
          <w:p>
            <w:pPr>
              <w:pStyle w:val="Normal"/>
              <w:jc w:val="center"/>
              <w:rPr/>
            </w:pPr>
            <w:r>
              <w:rPr/>
              <w:t>Led By: Gilbert Toppin, Principal, European e-Business Council Chair</w:t>
            </w:r>
          </w:p>
          <w:p>
            <w:pPr>
              <w:pStyle w:val="Normal"/>
              <w:jc w:val="center"/>
              <w:rPr/>
            </w:pPr>
            <w:r>
              <w:rPr/>
              <w:t>Dr. Peter Gloor, European e-Business Initiative Leader</w:t>
            </w:r>
          </w:p>
          <w:p>
            <w:pPr>
              <w:pStyle w:val="Normal"/>
              <w:jc w:val="center"/>
              <w:rPr/>
            </w:pPr>
            <w:r>
              <w:rPr/>
              <w:t>Dwight Allen, Director of Utility Studies</w:t>
            </w:r>
          </w:p>
          <w:p>
            <w:pPr>
              <w:pStyle w:val="Normal"/>
              <w:jc w:val="center"/>
              <w:rPr/>
            </w:pPr>
            <w:r>
              <w:rPr/>
              <w:t>Kris Hillstrand, US e-Business Initiative Leader</w:t>
            </w:r>
          </w:p>
          <w:p>
            <w:pPr>
              <w:pStyle w:val="Normal"/>
              <w:jc w:val="center"/>
              <w:rPr/>
            </w:pPr>
            <w:r>
              <w:rPr/>
              <w:t>Deloitte Consulting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2268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3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  <w:sz w:val="3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6z0">
    <w:name w:val="WW8Num26z0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Wingdings" w:hAnsi="Wingdings" w:cs="Wingdings"/>
      <w:sz w:val="16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Wingdings" w:hAnsi="Wingdings" w:cs="Wingdings"/>
      <w:sz w:val="36"/>
    </w:rPr>
  </w:style>
  <w:style w:type="character" w:styleId="WW8Num31z0">
    <w:name w:val="WW8Num31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  <w:sz w:val="20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Wingdings" w:hAnsi="Wingdings" w:cs="Wingdings"/>
      <w:sz w:val="16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  <w:sz w:val="16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Wingdings" w:hAnsi="Wingdings" w:cs="Wingdings"/>
      <w:sz w:val="36"/>
    </w:rPr>
  </w:style>
  <w:style w:type="character" w:styleId="WW8Num54z0">
    <w:name w:val="WW8Num54z0"/>
    <w:qFormat/>
    <w:rPr>
      <w:rFonts w:ascii="Wingdings" w:hAnsi="Wingdings" w:cs="Wingdings"/>
      <w:sz w:val="16"/>
    </w:rPr>
  </w:style>
  <w:style w:type="character" w:styleId="WW8Num55z0">
    <w:name w:val="WW8Num55z0"/>
    <w:qFormat/>
    <w:rPr>
      <w:rFonts w:ascii="Wingdings" w:hAnsi="Wingdings" w:cs="Wingdings"/>
      <w:sz w:val="16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  <w:sz w:val="16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1z0">
    <w:name w:val="WW8Num61z0"/>
    <w:qFormat/>
    <w:rPr>
      <w:rFonts w:ascii="Wingdings" w:hAnsi="Wingdings" w:cs="Wingdings"/>
      <w:sz w:val="20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  <w:sz w:val="16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Wingdings" w:hAnsi="Wingdings" w:cs="Wingdings"/>
      <w:sz w:val="20"/>
    </w:rPr>
  </w:style>
  <w:style w:type="character" w:styleId="WW8Num67z0">
    <w:name w:val="WW8Num67z0"/>
    <w:qFormat/>
    <w:rPr>
      <w:rFonts w:ascii="Wingdings" w:hAnsi="Wingdings" w:cs="Wingdings"/>
      <w:sz w:val="16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9z0">
    <w:name w:val="WW8Num69z0"/>
    <w:qFormat/>
    <w:rPr>
      <w:rFonts w:ascii="Wingdings" w:hAnsi="Wingdings" w:cs="Wingdings"/>
      <w:sz w:val="16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Wingdings" w:hAnsi="Wingdings" w:cs="Wingdings"/>
      <w:sz w:val="16"/>
    </w:rPr>
  </w:style>
  <w:style w:type="character" w:styleId="WW8Num72z0">
    <w:name w:val="WW8Num72z0"/>
    <w:qFormat/>
    <w:rPr>
      <w:rFonts w:ascii="Wingdings" w:hAnsi="Wingdings" w:cs="Wingdings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Wingdings" w:hAnsi="Wingdings" w:cs="Wingdings"/>
      <w:sz w:val="16"/>
    </w:rPr>
  </w:style>
  <w:style w:type="character" w:styleId="WW8Num75z0">
    <w:name w:val="WW8Num75z0"/>
    <w:qFormat/>
    <w:rPr>
      <w:rFonts w:ascii="Symbol" w:hAnsi="Symbol" w:cs="Symbol"/>
      <w:color w:val="auto"/>
    </w:rPr>
  </w:style>
  <w:style w:type="character" w:styleId="WW8Num76z0">
    <w:name w:val="WW8Num76z0"/>
    <w:qFormat/>
    <w:rPr>
      <w:rFonts w:ascii="Symbol" w:hAnsi="Symbol" w:cs="Symbol"/>
      <w:color w:val="auto"/>
    </w:rPr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8z0">
    <w:name w:val="WW8Num78z0"/>
    <w:qFormat/>
    <w:rPr>
      <w:rFonts w:ascii="Wingdings" w:hAnsi="Wingdings" w:cs="Wingdings"/>
      <w:sz w:val="16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Wingdings" w:hAnsi="Wingdings" w:cs="Wingdings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/>
  </w:style>
  <w:style w:type="character" w:styleId="WW8Num85z0">
    <w:name w:val="WW8Num85z0"/>
    <w:qFormat/>
    <w:rPr>
      <w:rFonts w:ascii="Wingdings" w:hAnsi="Wingdings" w:cs="Wingdings"/>
      <w:sz w:val="16"/>
    </w:rPr>
  </w:style>
  <w:style w:type="character" w:styleId="WW8Num86z0">
    <w:name w:val="WW8Num86z0"/>
    <w:qFormat/>
    <w:rPr>
      <w:rFonts w:ascii="Wingdings" w:hAnsi="Wingdings" w:cs="Wingdings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8z0">
    <w:name w:val="WW8Num88z0"/>
    <w:qFormat/>
    <w:rPr>
      <w:rFonts w:ascii="Wingdings" w:hAnsi="Wingdings" w:cs="Wingdings"/>
      <w:sz w:val="20"/>
    </w:rPr>
  </w:style>
  <w:style w:type="character" w:styleId="WW8Num89z0">
    <w:name w:val="WW8Num89z0"/>
    <w:qFormat/>
    <w:rPr>
      <w:rFonts w:ascii="Symbol" w:hAnsi="Symbol" w:cs="Symbol"/>
      <w:color w:val="auto"/>
    </w:rPr>
  </w:style>
  <w:style w:type="character" w:styleId="WW8Num90z0">
    <w:name w:val="WW8Num90z0"/>
    <w:qFormat/>
    <w:rPr>
      <w:rFonts w:ascii="Wingdings" w:hAnsi="Wingdings" w:cs="Wingdings"/>
      <w:sz w:val="20"/>
    </w:rPr>
  </w:style>
  <w:style w:type="character" w:styleId="WW8Num91z0">
    <w:name w:val="WW8Num91z0"/>
    <w:qFormat/>
    <w:rPr>
      <w:rFonts w:ascii="Wingdings" w:hAnsi="Wingdings" w:cs="Wingdings"/>
      <w:sz w:val="36"/>
    </w:rPr>
  </w:style>
  <w:style w:type="character" w:styleId="WW8Num92z0">
    <w:name w:val="WW8Num92z0"/>
    <w:qFormat/>
    <w:rPr>
      <w:rFonts w:ascii="Wingdings" w:hAnsi="Wingdings" w:cs="Wingdings"/>
    </w:rPr>
  </w:style>
  <w:style w:type="character" w:styleId="WW8Num93z0">
    <w:name w:val="WW8Num93z0"/>
    <w:qFormat/>
    <w:rPr>
      <w:rFonts w:ascii="Wingdings" w:hAnsi="Wingdings" w:cs="Wingdings"/>
      <w:sz w:val="20"/>
    </w:rPr>
  </w:style>
  <w:style w:type="character" w:styleId="WW8Num94z0">
    <w:name w:val="WW8Num94z0"/>
    <w:qFormat/>
    <w:rPr>
      <w:rFonts w:ascii="Wingdings" w:hAnsi="Wingdings" w:cs="Wingdings"/>
      <w:sz w:val="16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Wingdings" w:hAnsi="Wingdings" w:cs="Wingdings"/>
      <w:sz w:val="16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Wingdings" w:hAnsi="Wingdings" w:cs="Wingdings"/>
    </w:rPr>
  </w:style>
  <w:style w:type="character" w:styleId="WW8Num100z0">
    <w:name w:val="WW8Num100z0"/>
    <w:qFormat/>
    <w:rPr>
      <w:rFonts w:ascii="Wingdings" w:hAnsi="Wingdings" w:cs="Wingdings"/>
      <w:sz w:val="16"/>
    </w:rPr>
  </w:style>
  <w:style w:type="character" w:styleId="WW8Num101z0">
    <w:name w:val="WW8Num101z0"/>
    <w:qFormat/>
    <w:rPr>
      <w:rFonts w:ascii="Wingdings" w:hAnsi="Wingdings" w:cs="Wingdings"/>
      <w:sz w:val="16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Wingdings" w:hAnsi="Wingdings" w:cs="Wingdings"/>
    </w:rPr>
  </w:style>
  <w:style w:type="character" w:styleId="WW8Num104z0">
    <w:name w:val="WW8Num104z0"/>
    <w:qFormat/>
    <w:rPr>
      <w:rFonts w:ascii="Wingdings" w:hAnsi="Wingdings" w:cs="Wingdings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Wingdings" w:hAnsi="Wingdings" w:cs="Wingdings"/>
      <w:sz w:val="20"/>
    </w:rPr>
  </w:style>
  <w:style w:type="character" w:styleId="WW8Num109z0">
    <w:name w:val="WW8Num109z0"/>
    <w:qFormat/>
    <w:rPr>
      <w:rFonts w:ascii="Wingdings" w:hAnsi="Wingdings" w:cs="Wingdings"/>
    </w:rPr>
  </w:style>
  <w:style w:type="character" w:styleId="WW8Num110z0">
    <w:name w:val="WW8Num110z0"/>
    <w:qFormat/>
    <w:rPr>
      <w:rFonts w:ascii="Wingdings" w:hAnsi="Wingdings" w:cs="Wingdings"/>
      <w:sz w:val="16"/>
    </w:rPr>
  </w:style>
  <w:style w:type="character" w:styleId="WW8Num111z0">
    <w:name w:val="WW8Num111z0"/>
    <w:qFormat/>
    <w:rPr>
      <w:rFonts w:ascii="Wingdings" w:hAnsi="Wingdings" w:cs="Wingdings"/>
      <w:sz w:val="36"/>
    </w:rPr>
  </w:style>
  <w:style w:type="character" w:styleId="WW8Num112z0">
    <w:name w:val="WW8Num112z0"/>
    <w:qFormat/>
    <w:rPr>
      <w:rFonts w:ascii="Wingdings" w:hAnsi="Wingdings" w:cs="Wingdings"/>
    </w:rPr>
  </w:style>
  <w:style w:type="character" w:styleId="WW8Num113z0">
    <w:name w:val="WW8Num113z0"/>
    <w:qFormat/>
    <w:rPr>
      <w:rFonts w:ascii="Wingdings" w:hAnsi="Wingdings" w:cs="Wingdings"/>
      <w:sz w:val="16"/>
    </w:rPr>
  </w:style>
  <w:style w:type="character" w:styleId="WW8Num114z0">
    <w:name w:val="WW8Num114z0"/>
    <w:qFormat/>
    <w:rPr>
      <w:rFonts w:ascii="Wingdings" w:hAnsi="Wingdings" w:cs="Wingdings"/>
    </w:rPr>
  </w:style>
  <w:style w:type="character" w:styleId="WW8Num115z0">
    <w:name w:val="WW8Num115z0"/>
    <w:qFormat/>
    <w:rPr>
      <w:rFonts w:ascii="Wingdings" w:hAnsi="Wingdings" w:cs="Wingdings"/>
      <w:sz w:val="16"/>
    </w:rPr>
  </w:style>
  <w:style w:type="character" w:styleId="WW8Num116z0">
    <w:name w:val="WW8Num116z0"/>
    <w:qFormat/>
    <w:rPr>
      <w:rFonts w:ascii="Wingdings" w:hAnsi="Wingdings" w:cs="Wingdings"/>
    </w:rPr>
  </w:style>
  <w:style w:type="character" w:styleId="WW8Num117z0">
    <w:name w:val="WW8Num117z0"/>
    <w:qFormat/>
    <w:rPr>
      <w:rFonts w:ascii="Wingdings" w:hAnsi="Wingdings" w:cs="Wingdings"/>
      <w:sz w:val="16"/>
    </w:rPr>
  </w:style>
  <w:style w:type="character" w:styleId="WW8Num118z0">
    <w:name w:val="WW8Num118z0"/>
    <w:qFormat/>
    <w:rPr>
      <w:rFonts w:ascii="Wingdings" w:hAnsi="Wingdings" w:cs="Wingdings"/>
      <w:sz w:val="24"/>
    </w:rPr>
  </w:style>
  <w:style w:type="character" w:styleId="WW8Num119z0">
    <w:name w:val="WW8Num119z0"/>
    <w:qFormat/>
    <w:rPr>
      <w:rFonts w:ascii="Wingdings" w:hAnsi="Wingdings" w:cs="Wingdings"/>
      <w:sz w:val="16"/>
    </w:rPr>
  </w:style>
  <w:style w:type="character" w:styleId="WW8Num120z0">
    <w:name w:val="WW8Num120z0"/>
    <w:qFormat/>
    <w:rPr>
      <w:rFonts w:ascii="Wingdings" w:hAnsi="Wingdings" w:cs="Wingdings"/>
    </w:rPr>
  </w:style>
  <w:style w:type="character" w:styleId="WW8Num121z0">
    <w:name w:val="WW8Num121z0"/>
    <w:qFormat/>
    <w:rPr>
      <w:rFonts w:ascii="Symbol" w:hAnsi="Symbol" w:cs="Symbol"/>
      <w:color w:val="auto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Wingdings" w:hAnsi="Wingdings" w:cs="Wingdings"/>
    </w:rPr>
  </w:style>
  <w:style w:type="character" w:styleId="WW8Num124z0">
    <w:name w:val="WW8Num124z0"/>
    <w:qFormat/>
    <w:rPr>
      <w:rFonts w:ascii="Wingdings" w:hAnsi="Wingdings" w:cs="Wingdings"/>
      <w:sz w:val="16"/>
    </w:rPr>
  </w:style>
  <w:style w:type="character" w:styleId="WW8Num125z0">
    <w:name w:val="WW8Num125z0"/>
    <w:qFormat/>
    <w:rPr>
      <w:rFonts w:ascii="Wingdings" w:hAnsi="Wingdings" w:cs="Wingdings"/>
      <w:sz w:val="16"/>
    </w:rPr>
  </w:style>
  <w:style w:type="character" w:styleId="WW8Num126z0">
    <w:name w:val="WW8Num126z0"/>
    <w:qFormat/>
    <w:rPr>
      <w:rFonts w:ascii="Wingdings" w:hAnsi="Wingdings" w:cs="Wingdings"/>
      <w:sz w:val="20"/>
    </w:rPr>
  </w:style>
  <w:style w:type="character" w:styleId="WW8Num127z0">
    <w:name w:val="WW8Num127z0"/>
    <w:qFormat/>
    <w:rPr>
      <w:rFonts w:ascii="Wingdings" w:hAnsi="Wingdings" w:cs="Wingdings"/>
      <w:sz w:val="16"/>
    </w:rPr>
  </w:style>
  <w:style w:type="character" w:styleId="WW8Num128z0">
    <w:name w:val="WW8Num128z0"/>
    <w:qFormat/>
    <w:rPr>
      <w:rFonts w:ascii="Wingdings" w:hAnsi="Wingdings" w:cs="Wingdings"/>
      <w:sz w:val="16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Wingdings" w:hAnsi="Wingdings" w:cs="Wingdings"/>
      <w:sz w:val="16"/>
    </w:rPr>
  </w:style>
  <w:style w:type="character" w:styleId="WW8Num131z0">
    <w:name w:val="WW8Num131z0"/>
    <w:qFormat/>
    <w:rPr>
      <w:rFonts w:ascii="Wingdings" w:hAnsi="Wingdings" w:cs="Wingdings"/>
      <w:sz w:val="16"/>
    </w:rPr>
  </w:style>
  <w:style w:type="character" w:styleId="WW8Num132z0">
    <w:name w:val="WW8Num132z0"/>
    <w:qFormat/>
    <w:rPr>
      <w:rFonts w:ascii="Wingdings" w:hAnsi="Wingdings" w:cs="Wingdings"/>
      <w:sz w:val="16"/>
    </w:rPr>
  </w:style>
  <w:style w:type="character" w:styleId="WW8Num133z0">
    <w:name w:val="WW8Num133z0"/>
    <w:qFormat/>
    <w:rPr>
      <w:rFonts w:ascii="Wingdings" w:hAnsi="Wingdings" w:cs="Wingdings"/>
      <w:sz w:val="20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Wingdings" w:hAnsi="Wingdings" w:cs="Wingdings"/>
    </w:rPr>
  </w:style>
  <w:style w:type="character" w:styleId="WW8Num136z0">
    <w:name w:val="WW8Num136z0"/>
    <w:qFormat/>
    <w:rPr>
      <w:rFonts w:ascii="Wingdings" w:hAnsi="Wingdings" w:cs="Wingdings"/>
      <w:sz w:val="20"/>
    </w:rPr>
  </w:style>
  <w:style w:type="character" w:styleId="WW8Num137z0">
    <w:name w:val="WW8Num137z0"/>
    <w:qFormat/>
    <w:rPr>
      <w:rFonts w:ascii="Wingdings" w:hAnsi="Wingdings" w:cs="Wingdings"/>
      <w:sz w:val="36"/>
    </w:rPr>
  </w:style>
  <w:style w:type="character" w:styleId="WW8Num138z0">
    <w:name w:val="WW8Num138z0"/>
    <w:qFormat/>
    <w:rPr>
      <w:rFonts w:ascii="Wingdings" w:hAnsi="Wingdings" w:cs="Wingdings"/>
    </w:rPr>
  </w:style>
  <w:style w:type="character" w:styleId="WW8Num139z0">
    <w:name w:val="WW8Num139z0"/>
    <w:qFormat/>
    <w:rPr>
      <w:rFonts w:ascii="Wingdings" w:hAnsi="Wingdings" w:cs="Wingdings"/>
    </w:rPr>
  </w:style>
  <w:style w:type="character" w:styleId="WW8Num140z0">
    <w:name w:val="WW8Num140z0"/>
    <w:qFormat/>
    <w:rPr>
      <w:rFonts w:ascii="Wingdings" w:hAnsi="Wingdings" w:cs="Wingdings"/>
      <w:sz w:val="36"/>
    </w:rPr>
  </w:style>
  <w:style w:type="character" w:styleId="WW8Num141z0">
    <w:name w:val="WW8Num141z0"/>
    <w:qFormat/>
    <w:rPr>
      <w:rFonts w:ascii="Symbol" w:hAnsi="Symbol" w:cs="Symbol"/>
      <w:color w:val="auto"/>
    </w:rPr>
  </w:style>
  <w:style w:type="character" w:styleId="WW8Num142z0">
    <w:name w:val="WW8Num142z0"/>
    <w:qFormat/>
    <w:rPr>
      <w:rFonts w:ascii="Wingdings" w:hAnsi="Wingdings" w:cs="Wingdings"/>
      <w:sz w:val="20"/>
    </w:rPr>
  </w:style>
  <w:style w:type="character" w:styleId="WW8Num143z0">
    <w:name w:val="WW8Num143z0"/>
    <w:qFormat/>
    <w:rPr>
      <w:rFonts w:ascii="Wingdings" w:hAnsi="Wingdings" w:cs="Wingdings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Wingdings" w:hAnsi="Wingdings" w:cs="Wingdings"/>
    </w:rPr>
  </w:style>
  <w:style w:type="character" w:styleId="WW8Num146z0">
    <w:name w:val="WW8Num146z0"/>
    <w:qFormat/>
    <w:rPr>
      <w:rFonts w:ascii="Wingdings" w:hAnsi="Wingdings" w:cs="Wingdings"/>
      <w:sz w:val="16"/>
    </w:rPr>
  </w:style>
  <w:style w:type="character" w:styleId="WW8Num147z0">
    <w:name w:val="WW8Num147z0"/>
    <w:qFormat/>
    <w:rPr>
      <w:rFonts w:ascii="Wingdings" w:hAnsi="Wingdings" w:cs="Wingdings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>
      <w:rFonts w:ascii="Wingdings" w:hAnsi="Wingdings" w:cs="Wingdings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Wingdings" w:hAnsi="Wingdings" w:cs="Wingdings"/>
      <w:sz w:val="16"/>
    </w:rPr>
  </w:style>
  <w:style w:type="character" w:styleId="WW8Num152z0">
    <w:name w:val="WW8Num152z0"/>
    <w:qFormat/>
    <w:rPr>
      <w:rFonts w:ascii="Wingdings" w:hAnsi="Wingdings" w:cs="Wingdings"/>
    </w:rPr>
  </w:style>
  <w:style w:type="character" w:styleId="WW8Num153z0">
    <w:name w:val="WW8Num153z0"/>
    <w:qFormat/>
    <w:rPr>
      <w:rFonts w:ascii="Wingdings" w:hAnsi="Wingdings" w:cs="Wingdings"/>
    </w:rPr>
  </w:style>
  <w:style w:type="character" w:styleId="WW8Num154z0">
    <w:name w:val="WW8Num154z0"/>
    <w:qFormat/>
    <w:rPr>
      <w:rFonts w:ascii="Wingdings" w:hAnsi="Wingdings" w:cs="Wingdings"/>
    </w:rPr>
  </w:style>
  <w:style w:type="character" w:styleId="WW8Num155z0">
    <w:name w:val="WW8Num155z0"/>
    <w:qFormat/>
    <w:rPr>
      <w:rFonts w:ascii="Wingdings" w:hAnsi="Wingdings" w:cs="Wingdings"/>
    </w:rPr>
  </w:style>
  <w:style w:type="character" w:styleId="WW8Num156z0">
    <w:name w:val="WW8Num156z0"/>
    <w:qFormat/>
    <w:rPr/>
  </w:style>
  <w:style w:type="character" w:styleId="WW8Num157z0">
    <w:name w:val="WW8Num157z0"/>
    <w:qFormat/>
    <w:rPr>
      <w:rFonts w:ascii="Wingdings" w:hAnsi="Wingdings" w:cs="Wingdings"/>
      <w:sz w:val="36"/>
    </w:rPr>
  </w:style>
  <w:style w:type="character" w:styleId="WW8Num158z0">
    <w:name w:val="WW8Num158z0"/>
    <w:qFormat/>
    <w:rPr>
      <w:rFonts w:ascii="Wingdings" w:hAnsi="Wingdings" w:cs="Wingdings"/>
      <w:sz w:val="16"/>
    </w:rPr>
  </w:style>
  <w:style w:type="character" w:styleId="WW8Num159z0">
    <w:name w:val="WW8Num159z0"/>
    <w:qFormat/>
    <w:rPr>
      <w:rFonts w:ascii="Wingdings" w:hAnsi="Wingdings" w:cs="Wingdings"/>
      <w:sz w:val="16"/>
    </w:rPr>
  </w:style>
  <w:style w:type="character" w:styleId="WW8Num160z0">
    <w:name w:val="WW8Num160z0"/>
    <w:qFormat/>
    <w:rPr>
      <w:rFonts w:ascii="Wingdings" w:hAnsi="Wingdings" w:cs="Wingdings"/>
      <w:sz w:val="16"/>
    </w:rPr>
  </w:style>
  <w:style w:type="character" w:styleId="WW8Num161z0">
    <w:name w:val="WW8Num161z0"/>
    <w:qFormat/>
    <w:rPr>
      <w:rFonts w:ascii="Symbol" w:hAnsi="Symbol" w:cs="Symbol"/>
      <w:color w:val="auto"/>
    </w:rPr>
  </w:style>
  <w:style w:type="character" w:styleId="WW8Num162z0">
    <w:name w:val="WW8Num162z0"/>
    <w:qFormat/>
    <w:rPr>
      <w:rFonts w:ascii="Wingdings" w:hAnsi="Wingdings" w:cs="Wingdings"/>
      <w:sz w:val="16"/>
    </w:rPr>
  </w:style>
  <w:style w:type="character" w:styleId="WW8Num163z0">
    <w:name w:val="WW8Num163z0"/>
    <w:qFormat/>
    <w:rPr>
      <w:rFonts w:ascii="Wingdings" w:hAnsi="Wingdings" w:cs="Wingdings"/>
    </w:rPr>
  </w:style>
  <w:style w:type="character" w:styleId="WW8Num164z0">
    <w:name w:val="WW8Num164z0"/>
    <w:qFormat/>
    <w:rPr>
      <w:rFonts w:ascii="Wingdings" w:hAnsi="Wingdings" w:cs="Wingdings"/>
    </w:rPr>
  </w:style>
  <w:style w:type="character" w:styleId="WW8Num165z0">
    <w:name w:val="WW8Num165z0"/>
    <w:qFormat/>
    <w:rPr>
      <w:rFonts w:ascii="Wingdings" w:hAnsi="Wingdings" w:cs="Wingdings"/>
      <w:sz w:val="36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/>
    <w:rPr>
      <w:b/>
      <w:i/>
      <w:u w:val="single"/>
    </w:rPr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640" w:leader="none"/>
      </w:tabs>
      <w:spacing w:lineRule="atLeast" w:line="200"/>
    </w:pPr>
    <w:rPr>
      <w:rFonts w:ascii="Arial" w:hAnsi="Arial" w:cs="Arial"/>
      <w:spacing w:val="-2"/>
      <w:sz w:val="16"/>
    </w:rPr>
  </w:style>
  <w:style w:type="paragraph" w:styleId="CommentText">
    <w:name w:val="Comment Text"/>
    <w:basedOn w:val="Normal"/>
    <w:qFormat/>
    <w:pPr/>
    <w:rPr/>
  </w:style>
  <w:style w:type="paragraph" w:styleId="BodyTextIndent">
    <w:name w:val="Body Text Indent"/>
    <w:basedOn w:val="Normal"/>
    <w:pPr>
      <w:jc w:val="center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2000-04-18T14:52:00Z</dcterms:created>
  <dc:creator>IIR Computer User</dc:creator>
  <dc:description/>
  <dc:language>en-CA</dc:language>
  <cp:lastModifiedBy>IIR Computer User</cp:lastModifiedBy>
  <cp:lastPrinted>2000-03-03T13:56:00Z</cp:lastPrinted>
  <dcterms:modified xsi:type="dcterms:W3CDTF">2000-05-22T07:52:00Z</dcterms:modified>
  <cp:revision>12</cp:revision>
  <dc:subject/>
  <dc:title>Monday 6th March 2000</dc:title>
</cp:coreProperties>
</file>