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lvetica-Black" w:hAnsi="Helvetica-Black" w:cs="Helvetica-Black"/>
          <w:sz w:val="22"/>
        </w:rPr>
      </w:pPr>
      <w:r>
        <w:rPr>
          <w:rFonts w:cs="Helvetica-Black" w:ascii="Helvetica-Black" w:hAnsi="Helvetica-Black"/>
          <w:sz w:val="22"/>
        </w:rPr>
        <w:t>U.S. Energy use forecast</w:t>
      </w:r>
    </w:p>
    <w:p>
      <w:pPr>
        <w:pStyle w:val="Normal"/>
        <w:rPr>
          <w:rFonts w:ascii="Helvetica-Black" w:hAnsi="Helvetica-Black" w:cs="Helvetica-Black"/>
          <w:sz w:val="28"/>
        </w:rPr>
      </w:pPr>
      <w:r>
        <w:rPr>
          <w:rFonts w:cs="Helvetica-Black" w:ascii="Helvetica-Black" w:hAnsi="Helvetica-Black"/>
          <w:sz w:val="28"/>
        </w:rPr>
        <w:t>Clearinghouse puts pieces in place for 2001</w:t>
      </w:r>
    </w:p>
    <w:p>
      <w:pPr>
        <w:pStyle w:val="Normal"/>
        <w:rPr/>
      </w:pPr>
      <w:r>
        <w:rPr>
          <w:rFonts w:cs="Helvetica-UltraCompressed" w:ascii="Helvetica-UltraCompressed" w:hAnsi="Helvetica-UltraCompressed"/>
          <w:sz w:val="89"/>
        </w:rPr>
        <w:t>O</w:t>
      </w:r>
      <w:r>
        <w:rPr>
          <w:rFonts w:cs="Times-Roman" w:ascii="Times-Roman" w:hAnsi="Times-Roman"/>
          <w:sz w:val="19"/>
        </w:rPr>
        <w:t>ver-the-counter (OTC) energy clearinghouse EnergyClear moved one step closer to its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planned 2001 launch, choosing onExchange’s technology platform for EnergyClear’s online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trading system.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OnExchange, which works with electronic exchanges to add risk-management capabili-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ties for their customers, said EnergyClear initially will offer its services to traders in the whole-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sale gas and power markets. As early as next spring — once the system comes online — it will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provide centralized comparison, netting and settlement of OTC energy contracts for trades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executed over the phone or through electronic marketplaces, onExchange says.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EnergyClear Co-founder and President Lee Burton said the implementation of onExchange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technology satisfies a long-standing need in the OTC markets, while providing other benefits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as well. “The OTC markets have been seeking the efficiencies of multilateral clearing for some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time now and, in conjunction with … onExchange, EnergyClear offers the first neutral, inde-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pendent, unbiased clearing solution,” Burton said.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OTC energy contracts currently are negotiated between principals, via electronic exchanges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or through interdealer brokers over the telephone. Future markets planned for the clearing-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house include petroleum products, crude oil, petrochemicals and bandwidth.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With the deal, EnergyClear becomes onExchange’s first customer. Terms of the deal were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not disclosed.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IDC analyst Aaron McPherson suggested a bright future for EnergyClear. “Online for-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wards and derivatives trading and clearing solutions typically deliver a five- to 10-fold increase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in trading volume over underlying cash markets. These solutions will improve the overall effi-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ciency of the energy market, allow energy companies to manage their risk much more effec-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tively and increase liquidity.”</w:t>
      </w:r>
    </w:p>
    <w:p>
      <w:pPr>
        <w:pStyle w:val="Normal"/>
        <w:rPr>
          <w:rFonts w:ascii="Times-Roman" w:hAnsi="Times-Roman" w:cs="Times-Roman"/>
          <w:sz w:val="19"/>
        </w:rPr>
      </w:pPr>
      <w:r>
        <w:rPr>
          <w:rFonts w:cs="Times-Roman" w:ascii="Times-Roman" w:hAnsi="Times-Roman"/>
          <w:sz w:val="19"/>
        </w:rPr>
        <w:t>Houston-based EnergyClear is comprised of EnergyClear Corp. and EnergyClear Opera-</w:t>
      </w:r>
    </w:p>
    <w:p>
      <w:pPr>
        <w:pStyle w:val="Normal"/>
        <w:rPr/>
      </w:pPr>
      <w:r>
        <w:rPr>
          <w:sz w:val="19"/>
        </w:rPr>
        <w:t>tions Co. (EOC). EOC is owned by the Bank of New York, Prebon Yamane and Amerex.</w:t>
      </w:r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-Black">
    <w:charset w:val="00" w:characterSet="windows-1252"/>
    <w:family w:val="swiss"/>
    <w:pitch w:val="default"/>
  </w:font>
  <w:font w:name="Helvetica-UltraCompressed">
    <w:charset w:val="00" w:characterSet="windows-1252"/>
    <w:family w:val="swiss"/>
    <w:pitch w:val="default"/>
  </w:font>
  <w:font w:name="Times-Roman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2000-12-06T12:19:00Z</dcterms:created>
  <dc:creator>Anthony Sykes</dc:creator>
  <dc:description/>
  <dc:language>en-CA</dc:language>
  <cp:lastModifiedBy>msolmon</cp:lastModifiedBy>
  <cp:lastPrinted>2000-12-06T08:49:00Z</cp:lastPrinted>
  <dcterms:modified xsi:type="dcterms:W3CDTF">2000-12-06T12:19:00Z</dcterms:modified>
  <cp:revision>2</cp:revision>
  <dc:subject/>
  <dc:title>U</dc:title>
</cp:coreProperties>
</file>