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u w:val="single"/>
        </w:rPr>
      </w:pPr>
      <w:r>
        <w:rPr>
          <w:u w:val="single"/>
        </w:rPr>
      </w:r>
    </w:p>
    <w:p>
      <w:pPr>
        <w:pStyle w:val="Normal"/>
        <w:rPr>
          <w:u w:val="single"/>
        </w:rPr>
      </w:pPr>
      <w:r>
        <w:rPr>
          <w:u w:val="single"/>
        </w:rPr>
      </w:r>
    </w:p>
    <w:p>
      <w:pPr>
        <w:pStyle w:val="Normal"/>
        <w:rPr>
          <w:u w:val="single"/>
        </w:rPr>
      </w:pPr>
      <w:r>
        <w:rPr>
          <w:u w:val="single"/>
        </w:rPr>
      </w:r>
    </w:p>
    <w:p>
      <w:pPr>
        <w:pStyle w:val="Normal"/>
        <w:rPr/>
      </w:pPr>
      <w:r>
        <w:rPr/>
      </w:r>
    </w:p>
    <w:p>
      <w:pPr>
        <w:pStyle w:val="Normal"/>
        <w:rPr/>
      </w:pPr>
      <w:r>
        <w:rPr/>
      </w:r>
    </w:p>
    <w:p>
      <w:pPr>
        <w:pStyle w:val="Normal"/>
        <w:rPr/>
      </w:pPr>
      <w:r>
        <w:rPr/>
      </w:r>
    </w:p>
    <w:p>
      <w:pPr>
        <w:pStyle w:val="Heading1"/>
        <w:ind w:hanging="0" w:start="0"/>
        <w:rPr>
          <w:sz w:val="32"/>
        </w:rPr>
      </w:pPr>
      <w:r>
        <w:rPr>
          <w:sz w:val="32"/>
        </w:rPr>
        <w:t>E.T. ANALYSIS - ENERGY</w:t>
      </w:r>
    </w:p>
    <w:p>
      <w:pPr>
        <w:pStyle w:val="Normal"/>
        <w:jc w:val="center"/>
        <w:rPr>
          <w:sz w:val="32"/>
        </w:rPr>
      </w:pPr>
      <w:r>
        <w:rPr>
          <w:sz w:val="32"/>
        </w:rPr>
      </w:r>
    </w:p>
    <w:p>
      <w:pPr>
        <w:pStyle w:val="Normal"/>
        <w:jc w:val="center"/>
        <w:rPr/>
      </w:pPr>
      <w:r>
        <w:rPr/>
      </w:r>
    </w:p>
    <w:p>
      <w:pPr>
        <w:pStyle w:val="Normal"/>
        <w:jc w:val="center"/>
        <w:rPr/>
      </w:pPr>
      <w:r>
        <w:rPr/>
        <w:t>Report Date:  January 1, 2002</w:t>
      </w:r>
    </w:p>
    <w:p>
      <w:pPr>
        <w:pStyle w:val="Normal"/>
        <w:jc w:val="center"/>
        <w:rPr/>
      </w:pPr>
      <w:r>
        <w:rPr/>
      </w:r>
    </w:p>
    <w:p>
      <w:pPr>
        <w:pStyle w:val="Normal"/>
        <w:jc w:val="center"/>
        <w:rPr/>
      </w:pPr>
      <w:r>
        <w:rPr/>
      </w:r>
    </w:p>
    <w:p>
      <w:pPr>
        <w:pStyle w:val="Normal"/>
        <w:jc w:val="center"/>
        <w:rPr/>
      </w:pPr>
      <w:r>
        <w:rPr/>
      </w:r>
    </w:p>
    <w:p>
      <w:pPr>
        <w:pStyle w:val="Heading2"/>
        <w:ind w:hanging="0" w:start="0"/>
        <w:rPr/>
      </w:pPr>
      <w:r>
        <w:rPr/>
        <w:t>Natural Gas</w:t>
      </w:r>
    </w:p>
    <w:p>
      <w:pPr>
        <w:pStyle w:val="Normal"/>
        <w:rPr/>
      </w:pPr>
      <w:r>
        <w:rPr/>
      </w:r>
    </w:p>
    <w:p>
      <w:pPr>
        <w:pStyle w:val="Normal"/>
        <w:rPr/>
      </w:pPr>
      <w:r>
        <w:rPr/>
        <w:tab/>
        <w:t>Based upon the market behavior of the past few years, 2002 is not likely to be a very exciting year for natural gas.  We are unlikely to see the wide price swings of 2000 and 2001.  However, this year will lay the groundwork for a much more bullish 2003.  The market is completing a bear cycle and will slowly emerge into a bull market.  Natural might see $4 this year, but look for 2-sided action most of the year.</w:t>
      </w:r>
    </w:p>
    <w:p>
      <w:pPr>
        <w:pStyle w:val="Normal"/>
        <w:rPr/>
      </w:pPr>
      <w:r>
        <w:rPr/>
      </w:r>
    </w:p>
    <w:p>
      <w:pPr>
        <w:pStyle w:val="Normal"/>
        <w:ind w:firstLine="720" w:end="0"/>
        <w:rPr/>
      </w:pPr>
      <w:r>
        <w:rPr/>
        <w:t>As reported for the last several weeks, ET has been looking for a major market low into late December, although the schizophrenic fashion of price movement was not anticipated.  While ET does not have all of the weakness patterns that normally depict a final low, these patterns have appeared in prior phases of the market’s decline.  Sometimes a market will do something towards the end of its move to throw you off and lead to a false expectation of more to come.  The next 10 days are going to offer a very strong buying opportunity with low risk.  You want to be looking to play this market from the long side.  Max numbers to the downside remain as 220 – 235.  Natural gas in the 320 – 330 range is the next important intermediate sell zone.</w:t>
      </w:r>
    </w:p>
    <w:p>
      <w:pPr>
        <w:pStyle w:val="Normal"/>
        <w:rPr/>
      </w:pPr>
      <w:r>
        <w:rPr/>
      </w:r>
    </w:p>
    <w:p>
      <w:pPr>
        <w:pStyle w:val="Normal"/>
        <w:rPr/>
      </w:pPr>
      <w:r>
        <w:rPr/>
        <w:tab/>
        <w:t xml:space="preserve">Natural will begin to see a weekly “0” type bottoming pattern this week.  This is a signal that the decline is nearly over and any further downside will either happen now or likely not at all.  Weekly buy signals can be generated if Feb. natural closes above 277.5 this Friday, or, if the market sees a lower low next week and closes up on the week.  A weekly buy also occurs if we take out this week’s high at any time next week.  </w:t>
      </w:r>
    </w:p>
    <w:p>
      <w:pPr>
        <w:pStyle w:val="Normal"/>
        <w:rPr/>
      </w:pPr>
      <w:r>
        <w:rPr/>
      </w:r>
    </w:p>
    <w:p>
      <w:pPr>
        <w:pStyle w:val="Normal"/>
        <w:rPr/>
      </w:pPr>
      <w:r>
        <w:rPr/>
      </w:r>
    </w:p>
    <w:p>
      <w:pPr>
        <w:pStyle w:val="Heading2"/>
        <w:ind w:hanging="0" w:start="0"/>
        <w:rPr/>
      </w:pPr>
      <w:r>
        <w:rPr/>
        <w:t>Crude Oil</w:t>
      </w:r>
    </w:p>
    <w:p>
      <w:pPr>
        <w:pStyle w:val="Normal"/>
        <w:rPr>
          <w:b/>
          <w:bCs/>
          <w:u w:val="single"/>
        </w:rPr>
      </w:pPr>
      <w:r>
        <w:rPr>
          <w:b/>
          <w:bCs/>
          <w:u w:val="single"/>
        </w:rPr>
      </w:r>
    </w:p>
    <w:p>
      <w:pPr>
        <w:pStyle w:val="Normal"/>
        <w:rPr/>
      </w:pPr>
      <w:r>
        <w:rPr/>
        <w:tab/>
        <w:t xml:space="preserve">Crude followed through on its weekly buy signal of two weeks ago and took out the 2073 high basis Feb. crude.  The daily close above 2073 has also turned the market trend to up.  To date, there is no evidence that the crude rally is complete.  Should Feb. crude trade under 1966 starting Wednesday, ET will begin to produce a daily weakness pattern.  Any downside should last no more than a day or two.  A buy signal will be generated Wednesday if crude trades under 1966 and closes above 1984.  A signal is also created should crude trade under 1966 Wednesday and then take out Wednesday’s high on Thursday.  Any buy signal will use the low of this decline as a stop-out.  ET continues to have upside price objectives of between 2260 and 2338 for front month crude.  A time target of January 8-9 exists, but there is a larger time objective out to the second week of February for a potential extreme.  </w:t>
      </w:r>
    </w:p>
    <w:sectPr>
      <w:type w:val="nextPage"/>
      <w:pgSz w:w="12240" w:h="15840"/>
      <w:pgMar w:left="1296" w:right="1296"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MicrosoftWorksTaskID" w:val="0"/>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outlineLvl w:val="1"/>
    </w:pPr>
    <w:rPr>
      <w:b/>
      <w:bCs/>
      <w:u w:val="singl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2000-05-01T00:17:00Z</dcterms:created>
  <dc:creator/>
  <dc:description/>
  <dc:language>en-CA</dc:language>
  <cp:lastModifiedBy>Mark Sagel</cp:lastModifiedBy>
  <cp:lastPrinted>2002-01-01T14:00:00Z</cp:lastPrinted>
  <dcterms:modified xsi:type="dcterms:W3CDTF">2002-01-01T16:30:00Z</dcterms:modified>
  <cp:revision>113</cp:revision>
  <dc:subject/>
  <dc:title>E</dc:title>
</cp:coreProperties>
</file>