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SECURITIES AND EXCHANGE</w:t>
      </w:r>
    </w:p>
    <w:p>
      <w:pPr>
        <w:pStyle w:val="Normal"/>
        <w:jc w:val="center"/>
        <w:rPr>
          <w:rFonts w:ascii="Courier New" w:hAnsi="Courier New" w:cs="Courier New"/>
          <w:sz w:val="24"/>
        </w:rPr>
      </w:pPr>
      <w:r>
        <w:rPr>
          <w:rFonts w:cs="Courier New" w:ascii="Courier New" w:hAnsi="Courier New"/>
          <w:sz w:val="24"/>
        </w:rPr>
        <w:t>COMMISSION</w:t>
      </w:r>
    </w:p>
    <w:p>
      <w:pPr>
        <w:pStyle w:val="Normal"/>
        <w:jc w:val="center"/>
        <w:rPr>
          <w:rFonts w:ascii="Courier New" w:hAnsi="Courier New" w:cs="Courier New"/>
          <w:sz w:val="24"/>
        </w:rPr>
      </w:pPr>
      <w:r>
        <w:rPr>
          <w:rFonts w:cs="Courier New" w:ascii="Courier New" w:hAnsi="Courier New"/>
          <w:sz w:val="24"/>
        </w:rPr>
        <w:t>WASHINGTON, D.C. 20549</w:t>
      </w:r>
    </w:p>
    <w:p>
      <w:pPr>
        <w:pStyle w:val="Normal"/>
        <w:jc w:val="center"/>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rPr>
      </w:pPr>
      <w:r>
        <w:rPr>
          <w:rFonts w:cs="Courier New" w:ascii="Courier New" w:hAnsi="Courier New"/>
        </w:rPr>
        <w:t>QUARTERLY REPORT PURSUANT TO SECTION 13 OR 15(D) OF THE SECURITIES</w:t>
      </w:r>
    </w:p>
    <w:p>
      <w:pPr>
        <w:pStyle w:val="Normal"/>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March 31,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jc w:val="center"/>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Enron Building</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left" w:pos="72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28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ab/>
        <w:t>Outstanding at April 30, 2001</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 xml:space="preserve">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1 of 27</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TABLE OF CONTENTS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7200" w:leader="none"/>
        </w:tabs>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PART I. FINANCIAL INFORMATION</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Consolidated Condensed Income Statement - Three</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 xml:space="preserve"> Months Ended March 31, 2001 and 2000</w:t>
        <w:tab/>
        <w:t>3</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Consolidated Balance Sheet - March 31, 2001</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 xml:space="preserve"> and December 31, 2000</w:t>
        <w:tab/>
        <w:t>4</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Consolidated Statement of Cash Flows - Three</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 xml:space="preserve"> Months Ended March 31, 2001 and 2000</w:t>
        <w:tab/>
        <w:t>6</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ab/>
        <w:tab/>
        <w:t xml:space="preserve"> Financial Condition and Results of Operations</w:t>
        <w:tab/>
        <w:t>15</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ITEM 1.</w:t>
        <w:tab/>
        <w:t>Legal Proceedings</w:t>
        <w:tab/>
        <w:t>26</w:t>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tab/>
        <w:t>ITEM 6.</w:t>
        <w:tab/>
        <w:t>Exhibits and Reports on Form 8-K</w:t>
        <w:tab/>
        <w:t>26</w:t>
      </w:r>
    </w:p>
    <w:p>
      <w:pPr>
        <w:sectPr>
          <w:footerReference w:type="default" r:id="rId2"/>
          <w:type w:val="nextPage"/>
          <w:pgSz w:w="12240" w:h="15840"/>
          <w:pgMar w:left="1800" w:right="1800" w:gutter="0" w:header="0" w:top="1440" w:footer="720" w:bottom="776"/>
          <w:pgNumType w:start="2" w:fmt="decimal"/>
          <w:formProt w:val="false"/>
          <w:textDirection w:val="lrTb"/>
          <w:docGrid w:type="default" w:linePitch="360" w:charSpace="0"/>
        </w:sectPr>
        <w:pStyle w:val="Normal"/>
        <w:tabs>
          <w:tab w:val="clear" w:pos="720"/>
          <w:tab w:val="left" w:pos="540" w:leader="none"/>
          <w:tab w:val="left" w:pos="1260" w:leader="none"/>
          <w:tab w:val="left" w:pos="1620" w:leader="none"/>
          <w:tab w:val="decimal" w:pos="792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jc w:val="center"/>
        <w:rPr>
          <w:rFonts w:ascii="Courier New" w:hAnsi="Courier New" w:cs="Courier New"/>
          <w:b/>
        </w:rPr>
      </w:pPr>
      <w:r>
        <w:rPr>
          <w:rFonts w:cs="Courier New" w:ascii="Courier New" w:hAnsi="Courier New"/>
          <w:b/>
        </w:rPr>
        <w:t>PART I. FINANCIAL INFORMATION</w:t>
      </w:r>
    </w:p>
    <w:p>
      <w:pPr>
        <w:pStyle w:val="Normal"/>
        <w:tabs>
          <w:tab w:val="clear" w:pos="720"/>
          <w:tab w:val="center" w:pos="6300" w:leader="none"/>
          <w:tab w:val="center" w:pos="9000" w:leader="none"/>
          <w:tab w:val="left" w:pos="10170" w:leader="none"/>
        </w:tabs>
        <w:jc w:val="center"/>
        <w:rPr>
          <w:rFonts w:ascii="Courier New" w:hAnsi="Courier New" w:cs="Courier New"/>
          <w:b/>
        </w:rPr>
      </w:pPr>
      <w:r>
        <w:rPr>
          <w:rFonts w:cs="Courier New" w:ascii="Courier New" w:hAnsi="Courier New"/>
          <w:b/>
        </w:rPr>
        <w:t>ITEM 1. FINANCIAL STATEMENTS</w:t>
      </w:r>
    </w:p>
    <w:p>
      <w:pPr>
        <w:pStyle w:val="Normal"/>
        <w:tabs>
          <w:tab w:val="clear" w:pos="720"/>
          <w:tab w:val="center" w:pos="6300" w:leader="none"/>
          <w:tab w:val="center" w:pos="9000" w:leader="none"/>
          <w:tab w:val="left" w:pos="10170" w:leader="none"/>
        </w:tabs>
        <w:jc w:val="center"/>
        <w:rPr>
          <w:rFonts w:ascii="Courier New" w:hAnsi="Courier New" w:cs="Courier New"/>
          <w:b/>
        </w:rPr>
      </w:pPr>
      <w:r>
        <w:rPr>
          <w:rFonts w:cs="Courier New" w:ascii="Courier New" w:hAnsi="Courier New"/>
          <w:b/>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rPr>
      </w:pPr>
      <w:r>
        <w:rPr>
          <w:rFonts w:cs="Courier New" w:ascii="Courier New" w:hAnsi="Courier New"/>
          <w:b/>
        </w:rPr>
        <w:t>CONSOLIDATED CONDENSED INCOME STATEMENT</w:t>
      </w:r>
    </w:p>
    <w:p>
      <w:pPr>
        <w:pStyle w:val="Normal"/>
        <w:tabs>
          <w:tab w:val="clear" w:pos="720"/>
          <w:tab w:val="center" w:pos="6300" w:leader="none"/>
          <w:tab w:val="center" w:pos="9000" w:leader="none"/>
          <w:tab w:val="left" w:pos="10170" w:leader="none"/>
        </w:tabs>
        <w:jc w:val="center"/>
        <w:rPr>
          <w:rFonts w:ascii="Courier New" w:hAnsi="Courier New" w:cs="Courier New"/>
          <w:i/>
          <w:i/>
        </w:rPr>
      </w:pPr>
      <w:r>
        <w:rPr>
          <w:rFonts w:cs="Courier New" w:ascii="Courier New" w:hAnsi="Courier New"/>
          <w:i/>
        </w:rPr>
        <w:t>(In Millions, Except Per Share Amounts)</w:t>
      </w:r>
    </w:p>
    <w:p>
      <w:pPr>
        <w:pStyle w:val="Normal"/>
        <w:tabs>
          <w:tab w:val="clear" w:pos="720"/>
          <w:tab w:val="center" w:pos="6300" w:leader="none"/>
          <w:tab w:val="center" w:pos="9000" w:leader="none"/>
          <w:tab w:val="left" w:pos="10170" w:leader="none"/>
        </w:tabs>
        <w:jc w:val="center"/>
        <w:rPr>
          <w:rFonts w:ascii="Courier New" w:hAnsi="Courier New" w:cs="Courier New"/>
          <w:i/>
          <w:i/>
        </w:rPr>
      </w:pPr>
      <w:r>
        <w:rPr>
          <w:rFonts w:cs="Courier New" w:ascii="Courier New" w:hAnsi="Courier New"/>
          <w:i/>
        </w:rPr>
        <w:t>(Unaudited)</w:t>
      </w:r>
    </w:p>
    <w:p>
      <w:pPr>
        <w:pStyle w:val="Normal"/>
        <w:tabs>
          <w:tab w:val="clear" w:pos="720"/>
          <w:tab w:val="center" w:pos="6300" w:leader="none"/>
          <w:tab w:val="center" w:pos="9000" w:leader="none"/>
          <w:tab w:val="left" w:pos="10170" w:leader="none"/>
        </w:tabs>
        <w:rPr>
          <w:rFonts w:ascii="Courier New" w:hAnsi="Courier New" w:cs="Courier New"/>
          <w:i/>
          <w:i/>
          <w:sz w:val="18"/>
        </w:rPr>
      </w:pPr>
      <w:r>
        <w:rPr>
          <w:rFonts w:cs="Courier New" w:ascii="Courier New" w:hAnsi="Courier New"/>
          <w:i/>
          <w:sz w:val="18"/>
        </w:rPr>
      </w:r>
    </w:p>
    <w:p>
      <w:pPr>
        <w:pStyle w:val="Normal"/>
        <w:tabs>
          <w:tab w:val="clear" w:pos="720"/>
          <w:tab w:val="center" w:pos="6300" w:leader="none"/>
          <w:tab w:val="center" w:pos="9000" w:leader="none"/>
          <w:tab w:val="left" w:pos="10170" w:leader="none"/>
        </w:tabs>
        <w:rPr>
          <w:rFonts w:ascii="Courier New" w:hAnsi="Courier New" w:cs="Courier New"/>
          <w:sz w:val="18"/>
        </w:rPr>
      </w:pPr>
      <w:r>
        <w:rPr>
          <w:rFonts w:cs="Courier New" w:ascii="Courier New" w:hAnsi="Courier New"/>
          <w:sz w:val="18"/>
        </w:rPr>
      </w:r>
    </w:p>
    <w:p>
      <w:pPr>
        <w:pStyle w:val="Normal"/>
        <w:tabs>
          <w:tab w:val="left" w:pos="360" w:leader="none"/>
          <w:tab w:val="left" w:pos="720" w:leader="none"/>
          <w:tab w:val="center" w:pos="8820" w:leader="none"/>
        </w:tabs>
        <w:rPr>
          <w:rFonts w:ascii="Courier New" w:hAnsi="Courier New" w:cs="Courier New"/>
        </w:rPr>
      </w:pPr>
      <w:r>
        <w:rPr>
          <w:rFonts w:cs="Courier New" w:ascii="Courier New" w:hAnsi="Courier New"/>
        </w:rPr>
        <w:tab/>
        <w:tab/>
        <w:tab/>
        <w:t>Three Months Ended</w:t>
      </w:r>
    </w:p>
    <w:p>
      <w:pPr>
        <w:pStyle w:val="Normal"/>
        <w:tabs>
          <w:tab w:val="left" w:pos="360" w:leader="none"/>
          <w:tab w:val="left" w:pos="720" w:leader="none"/>
          <w:tab w:val="left" w:pos="7020" w:leader="none"/>
          <w:tab w:val="center" w:pos="8820" w:leader="none"/>
          <w:tab w:val="left" w:pos="10260" w:leader="none"/>
          <w:tab w:val="left" w:pos="10440" w:leader="none"/>
        </w:tabs>
        <w:rPr>
          <w:rFonts w:ascii="Courier New" w:hAnsi="Courier New" w:cs="Courier New"/>
        </w:rPr>
      </w:pPr>
      <w:r>
        <w:rPr>
          <w:rFonts w:cs="Courier New" w:ascii="Courier New" w:hAnsi="Courier New"/>
        </w:rPr>
        <w:tab/>
        <w:tab/>
        <w:tab/>
      </w:r>
      <w:r>
        <w:rPr>
          <w:rFonts w:cs="Courier New" w:ascii="Courier New" w:hAnsi="Courier New"/>
          <w:u w:val="single"/>
        </w:rPr>
        <w:tab/>
        <w:t>March 31,</w:t>
        <w:tab/>
      </w:r>
    </w:p>
    <w:p>
      <w:pPr>
        <w:pStyle w:val="Normal"/>
        <w:tabs>
          <w:tab w:val="left" w:pos="360" w:leader="none"/>
          <w:tab w:val="left" w:pos="720" w:leader="none"/>
          <w:tab w:val="left" w:pos="7020" w:leader="none"/>
          <w:tab w:val="center" w:pos="7830" w:leader="none"/>
          <w:tab w:val="center" w:pos="9630" w:leader="none"/>
          <w:tab w:val="left" w:pos="1026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Normal"/>
        <w:tabs>
          <w:tab w:val="left" w:pos="360" w:leader="none"/>
          <w:tab w:val="left" w:pos="720" w:leader="none"/>
          <w:tab w:val="left" w:pos="7380" w:leader="none"/>
          <w:tab w:val="decimal" w:pos="8640" w:leader="none"/>
          <w:tab w:val="center" w:pos="9630" w:leader="none"/>
          <w:tab w:val="decimal" w:pos="10170" w:leader="none"/>
          <w:tab w:val="left" w:pos="1026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Revenues</w:t>
        <w:tab/>
      </w:r>
      <w:r>
        <w:rPr>
          <w:rFonts w:cs="Courier New" w:ascii="Courier New" w:hAnsi="Courier New"/>
          <w:u w:val="single"/>
        </w:rPr>
        <w:t>$50,129</w:t>
        <w:tab/>
        <w:t>$13,145</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Costs and Expenses</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Cost of gas, electricity and other products</w:t>
        <w:tab/>
        <w:t>48,105</w:t>
        <w:tab/>
        <w:t>11,888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Operating expenses</w:t>
        <w:tab/>
        <w:t>993</w:t>
        <w:tab/>
        <w:t>747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Depreciation, depletion and amortization</w:t>
        <w:tab/>
        <w:t>213</w:t>
        <w:tab/>
        <w:t>172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88</w:t>
        <w:tab/>
        <w:t xml:space="preserve">     66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r>
      <w:r>
        <w:rPr>
          <w:rFonts w:cs="Courier New" w:ascii="Courier New" w:hAnsi="Courier New"/>
          <w:u w:val="single"/>
        </w:rPr>
        <w:t xml:space="preserve"> 49,399</w:t>
        <w:tab/>
        <w:t xml:space="preserve"> 12,873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Operating Income</w:t>
        <w:tab/>
        <w:t>730</w:t>
        <w:tab/>
        <w:t>272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Other Income and Deductions</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Equity in earnings of unconsolidated equity affiliates</w:t>
        <w:tab/>
        <w:t>74</w:t>
        <w:tab/>
        <w:t>264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Gains on sales of non-merchant assets</w:t>
        <w:tab/>
        <w:t>32</w:t>
        <w:tab/>
        <w:t>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income, net</w:t>
        <w:tab/>
      </w:r>
      <w:r>
        <w:rPr>
          <w:rFonts w:cs="Courier New" w:ascii="Courier New" w:hAnsi="Courier New"/>
          <w:u w:val="single"/>
        </w:rPr>
        <w:t xml:space="preserve">    (41)</w:t>
        <w:tab/>
        <w:t xml:space="preserve">     70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Income before Interest, Minority Interests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and Income Taxes</w:t>
        <w:tab/>
        <w:t>795</w:t>
        <w:tab/>
        <w:t>624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Interest and Related Charges, net</w:t>
        <w:tab/>
        <w:t>201</w:t>
        <w:tab/>
        <w:t>161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Dividends on Company-Obligated Preferred Securities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Subsidiaries</w:t>
        <w:tab/>
        <w:t>18</w:t>
        <w:tab/>
        <w:t>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t>40</w:t>
        <w:tab/>
        <w:t>35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Income Taxes</w:t>
        <w:tab/>
      </w:r>
      <w:r>
        <w:rPr>
          <w:rFonts w:cs="Courier New" w:ascii="Courier New" w:hAnsi="Courier New"/>
          <w:u w:val="single"/>
        </w:rPr>
        <w:t xml:space="preserve">    130</w:t>
        <w:tab/>
        <w:t xml:space="preserve">     72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Net Income Before Cumulative Effect of Accounting Changes</w:t>
        <w:tab/>
        <w:t>406</w:t>
        <w:tab/>
        <w:t>338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Cumulative Effect of Accounting Changes, net of tax</w:t>
        <w:tab/>
      </w:r>
      <w:r>
        <w:rPr>
          <w:rFonts w:cs="Courier New" w:ascii="Courier New" w:hAnsi="Courier New"/>
          <w:u w:val="single"/>
        </w:rPr>
        <w:t xml:space="preserve">     19</w:t>
        <w:tab/>
        <w:t xml:space="preserve">      -</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Net Income</w:t>
        <w:tab/>
        <w:t>425</w:t>
        <w:tab/>
        <w:t>338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 xml:space="preserve">     20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pPr>
      <w:r>
        <w:rPr>
          <w:rFonts w:cs="Courier New" w:ascii="Courier New" w:hAnsi="Courier New"/>
        </w:rPr>
        <w:t>Earnings on Common Stock</w:t>
        <w:tab/>
      </w:r>
      <w:r>
        <w:rPr>
          <w:rFonts w:cs="Courier New" w:ascii="Courier New" w:hAnsi="Courier New"/>
          <w:u w:val="double"/>
        </w:rPr>
        <w:t>$   405</w:t>
        <w:tab/>
        <w:t>$   318</w:t>
      </w:r>
    </w:p>
    <w:p>
      <w:pPr>
        <w:pStyle w:val="Normal"/>
        <w:tabs>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t>Earnings per Share of Common Stock</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rPr>
      </w:pPr>
      <w:r>
        <w:rPr>
          <w:rFonts w:cs="Courier New" w:ascii="Courier New" w:hAnsi="Courier New"/>
        </w:rPr>
        <w:tab/>
        <w:t>Basic</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u w:val="double"/>
        </w:rPr>
      </w:pPr>
      <w:r>
        <w:rPr>
          <w:rFonts w:cs="Courier New" w:ascii="Courier New" w:hAnsi="Courier New"/>
        </w:rPr>
        <w:tab/>
        <w:tab/>
        <w:t>Before Cumulative Effect of Accounting Changes</w:t>
        <w:tab/>
        <w:t>$  0.51</w:t>
        <w:tab/>
        <w:t>$  0.44</w:t>
      </w:r>
    </w:p>
    <w:p>
      <w:pPr>
        <w:pStyle w:val="Header"/>
        <w:tabs>
          <w:tab w:val="clear" w:pos="4320"/>
          <w:tab w:val="clear" w:pos="8640"/>
          <w:tab w:val="left" w:pos="360" w:leader="none"/>
          <w:tab w:val="left" w:pos="720" w:leader="none"/>
          <w:tab w:val="decimal" w:pos="7740" w:leader="none"/>
          <w:tab w:val="decimal" w:pos="990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0.03</w:t>
        <w:tab/>
        <w:t xml:space="preserve">      -</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rPr>
      </w:pPr>
      <w:r>
        <w:rPr>
          <w:rFonts w:cs="Courier New" w:ascii="Courier New" w:hAnsi="Courier New"/>
        </w:rPr>
        <w:tab/>
        <w:tab/>
        <w:t>Basic Earnings per Share</w:t>
        <w:tab/>
      </w:r>
      <w:r>
        <w:rPr>
          <w:rFonts w:cs="Courier New" w:ascii="Courier New" w:hAnsi="Courier New"/>
          <w:u w:val="double"/>
        </w:rPr>
        <w:t>$  0.54</w:t>
        <w:tab/>
        <w:t>$  0.44</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rPr>
      </w:pPr>
      <w:r>
        <w:rPr>
          <w:rFonts w:cs="Courier New" w:ascii="Courier New" w:hAnsi="Courier New"/>
        </w:rPr>
        <w:tab/>
        <w:t>Diluted</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u w:val="double"/>
        </w:rPr>
      </w:pPr>
      <w:r>
        <w:rPr>
          <w:rFonts w:cs="Courier New" w:ascii="Courier New" w:hAnsi="Courier New"/>
        </w:rPr>
        <w:tab/>
        <w:tab/>
        <w:t>Before Cumulative Effect of Accounting Changes</w:t>
        <w:tab/>
        <w:t>$  0.47</w:t>
        <w:tab/>
        <w:t>$  0.40</w:t>
      </w:r>
    </w:p>
    <w:p>
      <w:pPr>
        <w:pStyle w:val="Header"/>
        <w:tabs>
          <w:tab w:val="clear" w:pos="4320"/>
          <w:tab w:val="clear" w:pos="8640"/>
          <w:tab w:val="left" w:pos="360" w:leader="none"/>
          <w:tab w:val="left" w:pos="720" w:leader="none"/>
          <w:tab w:val="decimal" w:pos="7740" w:leader="none"/>
          <w:tab w:val="decimal" w:pos="9900" w:leader="none"/>
        </w:tabs>
        <w:rPr/>
      </w:pPr>
      <w:r>
        <w:rPr>
          <w:rFonts w:cs="Courier New" w:ascii="Courier New" w:hAnsi="Courier New"/>
        </w:rPr>
        <w:tab/>
        <w:tab/>
        <w:t>Cumulative Effect of Accounting Changes</w:t>
        <w:tab/>
      </w:r>
      <w:r>
        <w:rPr>
          <w:rFonts w:cs="Courier New" w:ascii="Courier New" w:hAnsi="Courier New"/>
          <w:u w:val="single"/>
        </w:rPr>
        <w:t xml:space="preserve">   0.02</w:t>
        <w:tab/>
        <w:t xml:space="preserve">      -</w:t>
      </w:r>
    </w:p>
    <w:p>
      <w:pPr>
        <w:pStyle w:val="Header"/>
        <w:tabs>
          <w:tab w:val="clear" w:pos="4320"/>
          <w:tab w:val="clear" w:pos="8640"/>
          <w:tab w:val="left" w:pos="360" w:leader="none"/>
          <w:tab w:val="left" w:pos="720" w:leader="none"/>
          <w:tab w:val="decimal" w:pos="7740" w:leader="none"/>
          <w:tab w:val="decimal" w:pos="9540" w:leader="none"/>
        </w:tabs>
        <w:rPr>
          <w:rFonts w:ascii="Courier New" w:hAnsi="Courier New" w:cs="Courier New"/>
        </w:rPr>
      </w:pPr>
      <w:r>
        <w:rPr>
          <w:rFonts w:cs="Courier New" w:ascii="Courier New" w:hAnsi="Courier New"/>
        </w:rPr>
        <w:tab/>
        <w:tab/>
        <w:t>Diluted Earnings per Share</w:t>
        <w:tab/>
      </w:r>
      <w:r>
        <w:rPr>
          <w:rFonts w:cs="Courier New" w:ascii="Courier New" w:hAnsi="Courier New"/>
          <w:u w:val="double"/>
        </w:rPr>
        <w:t>$  0.49</w:t>
        <w:tab/>
        <w:t>$  0.40</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t>Average Number of Common Shares Used in Computation</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752</w:t>
        <w:tab/>
        <w:t xml:space="preserve">    723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872</w:t>
        <w:tab/>
        <w:t xml:space="preserve">    852</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PART I. FINANCIAL INFORMATION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920" w:leader="none"/>
          <w:tab w:val="center" w:pos="9720" w:leader="none"/>
          <w:tab w:val="left" w:pos="10440" w:leader="none"/>
        </w:tabs>
        <w:rPr>
          <w:rFonts w:ascii="Courier New" w:hAnsi="Courier New" w:cs="Courier New"/>
        </w:rPr>
      </w:pPr>
      <w:r>
        <w:rPr>
          <w:rFonts w:cs="Courier New" w:ascii="Courier New" w:hAnsi="Courier New"/>
        </w:rPr>
        <w:tab/>
        <w:tab/>
        <w:tab/>
        <w:tab/>
        <w:t>March 31,</w:t>
        <w:tab/>
        <w:t>December 31,</w:t>
      </w:r>
    </w:p>
    <w:p>
      <w:pPr>
        <w:pStyle w:val="Normal"/>
        <w:tabs>
          <w:tab w:val="left" w:pos="360" w:leader="none"/>
          <w:tab w:val="left" w:pos="720" w:leader="none"/>
          <w:tab w:val="left" w:pos="7020" w:leader="none"/>
          <w:tab w:val="center" w:pos="7920" w:leader="none"/>
          <w:tab w:val="center" w:pos="972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Normal"/>
        <w:tabs>
          <w:tab w:val="left" w:pos="360" w:leader="none"/>
          <w:tab w:val="left" w:pos="720" w:leader="none"/>
          <w:tab w:val="left" w:pos="7380" w:leader="none"/>
          <w:tab w:val="decimal" w:pos="8640" w:leader="none"/>
          <w:tab w:val="center" w:pos="9630" w:leader="none"/>
          <w:tab w:val="decimal" w:pos="1017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Current Assets</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$ 1,615</w:t>
        <w:tab/>
        <w:t>$ 1,374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Trade receivables (net of allowance for doubtful</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$516 and $133, respectively)</w:t>
        <w:tab/>
        <w:t>8,956</w:t>
        <w:tab/>
        <w:t>10,396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2,260</w:t>
        <w:tab/>
        <w:t>1,874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12,640</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654</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2,349</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895</w:t>
        <w:tab/>
        <w:t>1,333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Current Assets</w:t>
        <w:tab/>
      </w:r>
      <w:r>
        <w:rPr>
          <w:rFonts w:cs="Courier New" w:ascii="Courier New" w:hAnsi="Courier New"/>
          <w:u w:val="single"/>
        </w:rPr>
        <w:t xml:space="preserve"> 29,369</w:t>
        <w:tab/>
        <w:t>30,381</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Investments in and advances to unconsolidated</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equity affiliates</w:t>
        <w:tab/>
        <w:t>5,385</w:t>
        <w:tab/>
        <w:t>5,294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9,931</w:t>
        <w:tab/>
        <w:t>8,988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3,609</w:t>
        <w:tab/>
        <w:t>3,638</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7,287</w:t>
        <w:tab/>
        <w:t>5,459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Investments and Other Assets</w:t>
        <w:tab/>
      </w:r>
      <w:r>
        <w:rPr>
          <w:rFonts w:cs="Courier New" w:ascii="Courier New" w:hAnsi="Courier New"/>
          <w:u w:val="single"/>
        </w:rPr>
        <w:t xml:space="preserve"> 26,212</w:t>
        <w:tab/>
        <w:t>23,379</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6,987</w:t>
        <w:tab/>
        <w:t>6,916</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4,518</w:t>
        <w:tab/>
        <w:t>4,766</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912</w:t>
        <w:tab/>
        <w:t>839</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696</w:t>
        <w:tab/>
        <w:t>682</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2,184</w:t>
        <w:tab/>
        <w:t>2,256</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ab/>
        <w:tab/>
        <w:t>15,297</w:t>
        <w:tab/>
        <w:t>15,459</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3,772</w:t>
        <w:tab/>
        <w:t>3,716</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rPr>
        <w:tab/>
        <w:tab/>
        <w:t>Property, Plant and Equipment, net</w:t>
        <w:tab/>
        <w:t>11,575</w:t>
        <w:tab/>
        <w:t>11,743</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$67,156</w:t>
        <w:tab/>
        <w:t>$65,503</w:t>
      </w:r>
    </w:p>
    <w:p>
      <w:pPr>
        <w:pStyle w:val="Normal"/>
        <w:tabs>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PART I. FINANCIAL INFORMATION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740" w:leader="none"/>
          <w:tab w:val="center" w:pos="9540" w:leader="none"/>
          <w:tab w:val="left" w:pos="10440" w:leader="none"/>
        </w:tabs>
        <w:rPr>
          <w:rFonts w:ascii="Courier New" w:hAnsi="Courier New" w:cs="Courier New"/>
        </w:rPr>
      </w:pPr>
      <w:r>
        <w:rPr>
          <w:rFonts w:cs="Courier New" w:ascii="Courier New" w:hAnsi="Courier New"/>
        </w:rPr>
        <w:tab/>
        <w:tab/>
        <w:tab/>
        <w:tab/>
        <w:t>March 31,</w:t>
        <w:tab/>
        <w:t>December 31,</w:t>
      </w:r>
    </w:p>
    <w:p>
      <w:pPr>
        <w:pStyle w:val="Normal"/>
        <w:tabs>
          <w:tab w:val="left" w:pos="360" w:leader="none"/>
          <w:tab w:val="left" w:pos="720" w:leader="none"/>
          <w:tab w:val="left" w:pos="7020" w:leader="none"/>
          <w:tab w:val="center" w:pos="7740" w:leader="none"/>
          <w:tab w:val="center" w:pos="954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Normal"/>
        <w:tabs>
          <w:tab w:val="left" w:pos="360" w:leader="none"/>
          <w:tab w:val="left" w:pos="720" w:leader="none"/>
          <w:tab w:val="left" w:pos="7380" w:leader="none"/>
          <w:tab w:val="decimal" w:pos="8640" w:leader="none"/>
          <w:tab w:val="center" w:pos="9630" w:leader="none"/>
          <w:tab w:val="decimal" w:pos="1017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Current Liabilities</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$ 8,887</w:t>
        <w:tab/>
        <w:t>$ 9,777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10,645</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1,783</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3,495</w:t>
        <w:tab/>
        <w:t>4,277</w:t>
      </w:r>
    </w:p>
    <w:p>
      <w:pPr>
        <w:pStyle w:val="Heading4"/>
        <w:ind w:hanging="0" w:start="0"/>
        <w:rPr/>
      </w:pPr>
      <w:r>
        <w:rPr/>
        <w:tab/>
        <w:t>Other</w:t>
        <w:tab/>
      </w:r>
      <w:r>
        <w:rPr>
          <w:u w:val="single"/>
        </w:rPr>
        <w:t xml:space="preserve">  2,380</w:t>
        <w:tab/>
        <w:t>2,178</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Current Liabilities</w:t>
        <w:tab/>
      </w:r>
      <w:r>
        <w:rPr>
          <w:rFonts w:cs="Courier New" w:ascii="Courier New" w:hAnsi="Courier New"/>
          <w:u w:val="single"/>
        </w:rPr>
        <w:t xml:space="preserve"> 27,190</w:t>
        <w:tab/>
        <w:t>28,406</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Long-Term Debt</w:t>
        <w:tab/>
      </w:r>
      <w:r>
        <w:rPr>
          <w:rFonts w:cs="Courier New" w:ascii="Courier New" w:hAnsi="Courier New"/>
          <w:u w:val="single"/>
        </w:rPr>
        <w:t xml:space="preserve"> 10,301</w:t>
        <w:tab/>
        <w:t>8,550</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1,517</w:t>
        <w:tab/>
        <w:t>1,644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10,652</w:t>
        <w:tab/>
        <w:t>9,423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2,454</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14,623</w:t>
        <w:tab/>
        <w:t>13,759</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Minority Interests</w:t>
        <w:tab/>
      </w:r>
      <w:r>
        <w:rPr>
          <w:rFonts w:cs="Courier New" w:ascii="Courier New" w:hAnsi="Courier New"/>
          <w:u w:val="single"/>
        </w:rPr>
        <w:t xml:space="preserve">  2,418</w:t>
        <w:tab/>
        <w:t>2,414</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904</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Shareholders' Equity</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121</w:t>
        <w:tab/>
        <w:t>124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Manditorily Convertible Junior Preferred</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Stock, Series B, no par value</w:t>
        <w:tab/>
        <w:t>1,000</w:t>
        <w:tab/>
        <w:t>1,000</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w:t>
        <w:tab/>
        <w:t>9,513</w:t>
        <w:tab/>
        <w:t>8,348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3,525</w:t>
        <w:tab/>
        <w:t>3,226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(1,200)</w:t>
        <w:tab/>
        <w:t>(1,048)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(1,082)</w:t>
        <w:tab/>
        <w:t>(32)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(157)</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Shareholders’ Equity</w:t>
        <w:tab/>
      </w:r>
      <w:r>
        <w:rPr>
          <w:rFonts w:cs="Courier New" w:ascii="Courier New" w:hAnsi="Courier New"/>
          <w:u w:val="single"/>
        </w:rPr>
        <w:t xml:space="preserve"> 11,720</w:t>
        <w:tab/>
        <w:t>11,470</w:t>
      </w:r>
    </w:p>
    <w:p>
      <w:pPr>
        <w:pStyle w:val="Head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$67,156</w:t>
        <w:tab/>
        <w:t>$65,503</w:t>
      </w:r>
    </w:p>
    <w:p>
      <w:pPr>
        <w:pStyle w:val="Normal"/>
        <w:tabs>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PART I. FINANCIAL INFORMATION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left" w:pos="7020" w:leader="none"/>
          <w:tab w:val="center" w:pos="8820" w:leader="none"/>
          <w:tab w:val="left" w:pos="10440" w:leader="none"/>
        </w:tabs>
        <w:rPr>
          <w:rFonts w:ascii="Courier New" w:hAnsi="Courier New" w:cs="Courier New"/>
        </w:rPr>
      </w:pPr>
      <w:r>
        <w:rPr>
          <w:rFonts w:cs="Courier New" w:ascii="Courier New" w:hAnsi="Courier New"/>
        </w:rPr>
        <w:tab/>
        <w:tab/>
        <w:tab/>
        <w:tab/>
        <w:t>Three Months Ended</w:t>
      </w:r>
    </w:p>
    <w:p>
      <w:pPr>
        <w:pStyle w:val="Normal"/>
        <w:tabs>
          <w:tab w:val="left" w:pos="360" w:leader="none"/>
          <w:tab w:val="left" w:pos="720" w:leader="none"/>
          <w:tab w:val="left" w:pos="7200" w:leader="none"/>
          <w:tab w:val="center" w:pos="8820" w:leader="none"/>
          <w:tab w:val="left" w:pos="10260" w:leader="none"/>
        </w:tabs>
        <w:rPr>
          <w:rFonts w:ascii="Courier New" w:hAnsi="Courier New" w:cs="Courier New"/>
        </w:rPr>
      </w:pPr>
      <w:r>
        <w:rPr>
          <w:rFonts w:cs="Courier New" w:ascii="Courier New" w:hAnsi="Courier New"/>
        </w:rPr>
        <w:tab/>
        <w:tab/>
        <w:tab/>
      </w:r>
      <w:r>
        <w:rPr>
          <w:rFonts w:cs="Courier New" w:ascii="Courier New" w:hAnsi="Courier New"/>
          <w:u w:val="single"/>
        </w:rPr>
        <w:tab/>
        <w:t>March 31,</w:t>
        <w:tab/>
      </w:r>
    </w:p>
    <w:p>
      <w:pPr>
        <w:pStyle w:val="Normal"/>
        <w:tabs>
          <w:tab w:val="left" w:pos="360" w:leader="none"/>
          <w:tab w:val="left" w:pos="720" w:leader="none"/>
          <w:tab w:val="left" w:pos="7200" w:leader="none"/>
          <w:tab w:val="center" w:pos="783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Normal"/>
        <w:tabs>
          <w:tab w:val="left" w:pos="360" w:leader="none"/>
          <w:tab w:val="left" w:pos="720" w:leader="none"/>
          <w:tab w:val="decimal" w:pos="8460" w:leader="none"/>
          <w:tab w:val="decimal" w:pos="1017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Net income</w:t>
        <w:tab/>
        <w:t>$   425</w:t>
        <w:tab/>
        <w:t>$   338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Depreciation, depletion and amortization</w:t>
        <w:tab/>
        <w:t>213</w:t>
        <w:tab/>
        <w:t>172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113</w:t>
        <w:tab/>
        <w:t>30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Gains on sales of non-merchant assets</w:t>
        <w:tab/>
        <w:t>(32)</w:t>
        <w:tab/>
        <w:t>(18)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Changes in components of working capital</w:t>
        <w:tab/>
        <w:t>(206)</w:t>
        <w:tab/>
        <w:t>(313)</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Net assets from price risk management activities</w:t>
        <w:tab/>
        <w:t>(186)</w:t>
        <w:tab/>
        <w:t>(52)</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ab/>
        <w:t>Realized gains on sales</w:t>
        <w:tab/>
        <w:t>62</w:t>
        <w:tab/>
        <w:t>(31)</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ab/>
        <w:t>Proceeds from sales</w:t>
        <w:tab/>
        <w:t>155</w:t>
        <w:tab/>
        <w:t>199</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ab/>
        <w:t>Additions and unrealized gains</w:t>
        <w:tab/>
        <w:t>(228)</w:t>
        <w:tab/>
        <w:t>(517)</w:t>
      </w:r>
    </w:p>
    <w:p>
      <w:pPr>
        <w:pStyle w:val="Normal"/>
        <w:tabs>
          <w:tab w:val="left" w:pos="360" w:leader="none"/>
          <w:tab w:val="left" w:pos="720" w:leader="none"/>
          <w:tab w:val="left" w:pos="1080" w:leader="none"/>
          <w:tab w:val="decimal" w:pos="8100" w:leader="none"/>
          <w:tab w:val="decimal" w:pos="9900" w:leader="none"/>
        </w:tabs>
        <w:rPr/>
      </w:pPr>
      <w:r>
        <w:rPr>
          <w:rFonts w:cs="Courier New" w:ascii="Courier New" w:hAnsi="Courier New"/>
        </w:rPr>
        <w:tab/>
        <w:t>Other operating activities</w:t>
        <w:tab/>
      </w:r>
      <w:r>
        <w:rPr>
          <w:rFonts w:cs="Courier New" w:ascii="Courier New" w:hAnsi="Courier New"/>
          <w:u w:val="single"/>
        </w:rPr>
        <w:t xml:space="preserve">  [(662)]</w:t>
        <w:tab/>
        <w:t xml:space="preserve">     (265</w:t>
      </w:r>
      <w:r>
        <w:rPr>
          <w:rFonts w:cs="Courier New" w:ascii="Courier New" w:hAnsi="Courier New"/>
        </w:rPr>
        <w:t>)</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u w:val="single"/>
        </w:rPr>
      </w:pPr>
      <w:r>
        <w:rPr>
          <w:rFonts w:cs="Courier New" w:ascii="Courier New" w:hAnsi="Courier New"/>
        </w:rPr>
        <w:t>Net Cash Used in Operating Activities</w:t>
        <w:tab/>
      </w:r>
      <w:r>
        <w:rPr>
          <w:rFonts w:cs="Courier New" w:ascii="Courier New" w:hAnsi="Courier New"/>
          <w:u w:val="single"/>
        </w:rPr>
        <w:t xml:space="preserve">   (365)</w:t>
        <w:tab/>
        <w:t xml:space="preserve">   (457</w:t>
      </w:r>
      <w:r>
        <w:rPr>
          <w:rFonts w:cs="Courier New" w:ascii="Courier New" w:hAnsi="Courier New"/>
        </w:rPr>
        <w:t>)</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Capital expenditures</w:t>
        <w:tab/>
        <w:t>(412)</w:t>
        <w:tab/>
        <w:t>(496)</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Equity investments</w:t>
        <w:tab/>
        <w:t>(439)</w:t>
        <w:tab/>
        <w:t>(316)</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Proceeds from sales of non-merchant investments</w:t>
        <w:tab/>
        <w:t>375</w:t>
        <w:tab/>
        <w:t>17</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Acquisition of subsidiary stock</w:t>
        <w:tab/>
        <w:t>-</w:t>
        <w:tab/>
        <w:t>(485)</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Business acquisitions, net of cash acquired</w:t>
        <w:tab/>
        <w:t>(33)</w:t>
        <w:tab/>
        <w:t>(144)</w:t>
      </w:r>
    </w:p>
    <w:p>
      <w:pPr>
        <w:pStyle w:val="Normal"/>
        <w:tabs>
          <w:tab w:val="left" w:pos="360" w:leader="none"/>
          <w:tab w:val="left" w:pos="720" w:leader="none"/>
          <w:tab w:val="left" w:pos="1080" w:leader="none"/>
          <w:tab w:val="decimal" w:pos="810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(369)</w:t>
        <w:tab/>
        <w:t xml:space="preserve">    (69</w:t>
      </w:r>
      <w:r>
        <w:rPr>
          <w:rFonts w:cs="Courier New" w:ascii="Courier New" w:hAnsi="Courier New"/>
        </w:rPr>
        <w:t>)</w:t>
      </w:r>
    </w:p>
    <w:p>
      <w:pPr>
        <w:pStyle w:val="Normal"/>
        <w:tabs>
          <w:tab w:val="left" w:pos="360" w:leader="none"/>
          <w:tab w:val="left" w:pos="720" w:leader="none"/>
          <w:tab w:val="left" w:pos="1080" w:leader="none"/>
          <w:tab w:val="decimal" w:pos="810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(878)</w:t>
        <w:tab/>
        <w:t xml:space="preserve"> (1,493</w:t>
      </w:r>
      <w:r>
        <w:rPr>
          <w:rFonts w:cs="Courier New" w:ascii="Courier New" w:hAnsi="Courier New"/>
        </w:rPr>
        <w:t>)</w:t>
      </w:r>
    </w:p>
    <w:p>
      <w:pPr>
        <w:pStyle w:val="Header"/>
        <w:tabs>
          <w:tab w:val="clear" w:pos="4320"/>
          <w:tab w:val="clear" w:pos="8640"/>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Cash Flows From Financing Activities</w:t>
      </w:r>
    </w:p>
    <w:p>
      <w:pPr>
        <w:pStyle w:val="Header"/>
        <w:tabs>
          <w:tab w:val="clear" w:pos="4320"/>
          <w:tab w:val="clear" w:pos="8640"/>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Issuance of long-term debt</w:t>
        <w:tab/>
        <w:t>1,722</w:t>
        <w:tab/>
        <w:t>1,361</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Repayment of long-term debt</w:t>
        <w:tab/>
        <w:t>(828)</w:t>
        <w:tab/>
        <w:t>(393)</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Net increase in short-term borrowings</w:t>
        <w:tab/>
        <w:t>790</w:t>
        <w:tab/>
        <w:t>962</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Issuance of common stock</w:t>
        <w:tab/>
        <w:t>119</w:t>
        <w:tab/>
        <w:t>179</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Issuance of preferred securities of subsidiaries</w:t>
        <w:tab/>
        <w:t>-</w:t>
        <w:tab/>
        <w:t>105</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Dividends paid</w:t>
        <w:tab/>
        <w:t>(143)</w:t>
        <w:tab/>
        <w:t>(156)</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Net (acquisition) disposition of treasury stock</w:t>
        <w:tab/>
        <w:t>(226)</w:t>
        <w:tab/>
        <w:t>70</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ab/>
        <w:t>Other financing activities</w:t>
        <w:tab/>
      </w:r>
      <w:r>
        <w:rPr>
          <w:rFonts w:cs="Courier New" w:ascii="Courier New" w:hAnsi="Courier New"/>
          <w:u w:val="single"/>
        </w:rPr>
        <w:t xml:space="preserve">      -</w:t>
        <w:tab/>
        <w:t xml:space="preserve">      -</w:t>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1,484</w:t>
        <w:tab/>
        <w:t xml:space="preserve">  2,128</w:t>
      </w:r>
    </w:p>
    <w:p>
      <w:pPr>
        <w:pStyle w:val="Header"/>
        <w:tabs>
          <w:tab w:val="clear" w:pos="4320"/>
          <w:tab w:val="clear" w:pos="8640"/>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Increase in Cash and Cash Equivalents</w:t>
        <w:tab/>
        <w:t>241</w:t>
        <w:tab/>
        <w:t>178</w:t>
      </w:r>
    </w:p>
    <w:p>
      <w:pPr>
        <w:pStyle w:val="Normal"/>
        <w:tabs>
          <w:tab w:val="left" w:pos="360" w:leader="none"/>
          <w:tab w:val="left" w:pos="720" w:leader="none"/>
          <w:tab w:val="left" w:pos="1080" w:leader="none"/>
          <w:tab w:val="decimal" w:pos="810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1,374</w:t>
        <w:tab/>
        <w:t xml:space="preserve">    288</w:t>
      </w:r>
    </w:p>
    <w:p>
      <w:pPr>
        <w:pStyle w:val="Normal"/>
        <w:tabs>
          <w:tab w:val="left" w:pos="360" w:leader="none"/>
          <w:tab w:val="left" w:pos="720" w:leader="none"/>
          <w:tab w:val="left" w:pos="1080" w:leader="none"/>
          <w:tab w:val="decimal" w:pos="8100" w:leader="none"/>
          <w:tab w:val="decimal" w:pos="9900" w:leader="none"/>
        </w:tabs>
        <w:rPr/>
      </w:pPr>
      <w:r>
        <w:rPr>
          <w:rFonts w:cs="Courier New" w:ascii="Courier New" w:hAnsi="Courier New"/>
        </w:rPr>
        <w:t>Cash and Cash Equivalents, End of Period</w:t>
        <w:tab/>
      </w:r>
      <w:r>
        <w:rPr>
          <w:rFonts w:cs="Courier New" w:ascii="Courier New" w:hAnsi="Courier New"/>
          <w:u w:val="single"/>
        </w:rPr>
        <w:t>$ 1,615</w:t>
        <w:tab/>
      </w:r>
      <w:r>
        <w:rPr>
          <w:rFonts w:cs="Courier New" w:ascii="Courier New" w:hAnsi="Courier New"/>
          <w:u w:val="double"/>
        </w:rPr>
        <w:t>$   466</w:t>
      </w:r>
    </w:p>
    <w:p>
      <w:pPr>
        <w:pStyle w:val="Header"/>
        <w:tabs>
          <w:tab w:val="clear" w:pos="4320"/>
          <w:tab w:val="clear" w:pos="8640"/>
          <w:tab w:val="left" w:pos="360" w:leader="none"/>
          <w:tab w:val="left" w:pos="720" w:leader="none"/>
          <w:tab w:val="left" w:pos="1080" w:leader="none"/>
          <w:tab w:val="decimal" w:pos="8100" w:leader="none"/>
          <w:tab w:val="decimal" w:pos="990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left" w:pos="1080" w:leader="none"/>
          <w:tab w:val="decimal" w:pos="8100" w:leader="none"/>
          <w:tab w:val="decimal" w:pos="9900" w:leader="none"/>
        </w:tabs>
        <w:rPr>
          <w:rFonts w:ascii="Courier New" w:hAnsi="Courier New" w:cs="Courier New"/>
        </w:rPr>
      </w:pPr>
      <w:r>
        <w:rPr>
          <w:rFonts w:cs="Courier New" w:ascii="Courier New" w:hAnsi="Courier New"/>
        </w:rPr>
        <w:t>Changes in Components of Working Capital</w:t>
      </w:r>
    </w:p>
    <w:p>
      <w:pPr>
        <w:pStyle w:val="Normal"/>
        <w:tabs>
          <w:tab w:val="left" w:pos="360" w:leader="none"/>
          <w:tab w:val="left" w:pos="720" w:leader="none"/>
          <w:tab w:val="left" w:pos="1080" w:leader="none"/>
          <w:tab w:val="decimal" w:pos="8100" w:leader="none"/>
          <w:tab w:val="decimal" w:pos="9900" w:leader="none"/>
        </w:tabs>
        <w:jc w:val="both"/>
        <w:rPr>
          <w:rFonts w:ascii="Courier New" w:hAnsi="Courier New" w:cs="Courier New"/>
        </w:rPr>
      </w:pPr>
      <w:r>
        <w:rPr>
          <w:rFonts w:cs="Courier New" w:ascii="Courier New" w:hAnsi="Courier New"/>
        </w:rPr>
        <w:tab/>
        <w:t>Receivables</w:t>
        <w:tab/>
        <w:t>$ 1,023</w:t>
        <w:tab/>
        <w:t>$ (824)</w:t>
      </w:r>
    </w:p>
    <w:p>
      <w:pPr>
        <w:pStyle w:val="Normal"/>
        <w:tabs>
          <w:tab w:val="left" w:pos="360" w:leader="none"/>
          <w:tab w:val="left" w:pos="720" w:leader="none"/>
          <w:tab w:val="left" w:pos="1080" w:leader="none"/>
          <w:tab w:val="decimal" w:pos="8100" w:leader="none"/>
          <w:tab w:val="decimal" w:pos="9900" w:leader="none"/>
        </w:tabs>
        <w:jc w:val="both"/>
        <w:rPr>
          <w:rFonts w:ascii="Courier New" w:hAnsi="Courier New" w:cs="Courier New"/>
        </w:rPr>
      </w:pPr>
      <w:r>
        <w:rPr>
          <w:rFonts w:cs="Courier New" w:ascii="Courier New" w:hAnsi="Courier New"/>
        </w:rPr>
        <w:tab/>
        <w:t>Inventories</w:t>
        <w:tab/>
        <w:t>166</w:t>
        <w:tab/>
        <w:t>156</w:t>
      </w:r>
    </w:p>
    <w:p>
      <w:pPr>
        <w:pStyle w:val="Normal"/>
        <w:tabs>
          <w:tab w:val="left" w:pos="360" w:leader="none"/>
          <w:tab w:val="left" w:pos="720" w:leader="none"/>
          <w:tab w:val="left" w:pos="1080" w:leader="none"/>
          <w:tab w:val="decimal" w:pos="8100" w:leader="none"/>
          <w:tab w:val="decimal" w:pos="9900" w:leader="none"/>
        </w:tabs>
        <w:jc w:val="both"/>
        <w:rPr>
          <w:rFonts w:ascii="Courier New" w:hAnsi="Courier New" w:cs="Courier New"/>
        </w:rPr>
      </w:pPr>
      <w:r>
        <w:rPr>
          <w:rFonts w:cs="Courier New" w:ascii="Courier New" w:hAnsi="Courier New"/>
        </w:rPr>
        <w:tab/>
        <w:t>Payables</w:t>
        <w:tab/>
        <w:t>(1,167)</w:t>
        <w:tab/>
        <w:t>732</w:t>
      </w:r>
    </w:p>
    <w:p>
      <w:pPr>
        <w:pStyle w:val="Normal"/>
        <w:tabs>
          <w:tab w:val="left" w:pos="360" w:leader="none"/>
          <w:tab w:val="left" w:pos="720" w:leader="none"/>
          <w:tab w:val="left" w:pos="1080" w:leader="none"/>
          <w:tab w:val="decimal" w:pos="8100" w:leader="none"/>
          <w:tab w:val="decimal" w:pos="9900" w:leader="none"/>
        </w:tabs>
        <w:jc w:val="both"/>
        <w:rPr/>
      </w:pPr>
      <w:r>
        <w:rPr>
          <w:rFonts w:cs="Courier New" w:ascii="Courier New" w:hAnsi="Courier New"/>
        </w:rPr>
        <w:tab/>
        <w:t>Other</w:t>
        <w:tab/>
        <w:tab/>
      </w:r>
      <w:r>
        <w:rPr>
          <w:rFonts w:cs="Courier New" w:ascii="Courier New" w:hAnsi="Courier New"/>
          <w:u w:val="single"/>
        </w:rPr>
        <w:t xml:space="preserve">   (228)</w:t>
        <w:tab/>
        <w:t xml:space="preserve">  (377</w:t>
      </w:r>
      <w:r>
        <w:rPr>
          <w:rFonts w:cs="Courier New" w:ascii="Courier New" w:hAnsi="Courier New"/>
        </w:rPr>
        <w:t>)</w:t>
      </w:r>
    </w:p>
    <w:p>
      <w:pPr>
        <w:pStyle w:val="Normal"/>
        <w:tabs>
          <w:tab w:val="left" w:pos="360" w:leader="none"/>
          <w:tab w:val="left" w:pos="720" w:leader="none"/>
          <w:tab w:val="left" w:pos="1080" w:leader="none"/>
          <w:tab w:val="decimal" w:pos="8100" w:leader="none"/>
          <w:tab w:val="decimal" w:pos="9900" w:leader="none"/>
        </w:tabs>
        <w:jc w:val="both"/>
        <w:rPr/>
      </w:pPr>
      <w:r>
        <w:rPr>
          <w:rFonts w:cs="Courier New" w:ascii="Courier New" w:hAnsi="Courier New"/>
        </w:rPr>
        <w:tab/>
        <w:tab/>
        <w:t>Total</w:t>
        <w:tab/>
      </w:r>
      <w:r>
        <w:rPr>
          <w:rFonts w:cs="Courier New" w:ascii="Courier New" w:hAnsi="Courier New"/>
          <w:u w:val="double"/>
        </w:rPr>
        <w:t>$  (206)</w:t>
        <w:tab/>
        <w:t>$ (313</w:t>
      </w:r>
      <w:r>
        <w:rPr>
          <w:rFonts w:cs="Courier New" w:ascii="Courier New" w:hAnsi="Courier New"/>
        </w:rPr>
        <w:t>)</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left" w:pos="108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left" w:pos="108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left" w:pos="1080" w:leader="none"/>
          <w:tab w:val="decimal" w:pos="8460" w:leader="none"/>
          <w:tab w:val="decimal" w:pos="10170" w:leader="none"/>
        </w:tabs>
        <w:rPr>
          <w:rFonts w:ascii="Courier New" w:hAnsi="Courier New" w:cs="Courier New"/>
        </w:rPr>
      </w:pPr>
      <w:r>
        <w:rPr>
          <w:rFonts w:cs="Courier New" w:ascii="Courier New" w:hAnsi="Courier New"/>
        </w:rPr>
      </w:r>
    </w:p>
    <w:p>
      <w:pPr>
        <w:sectPr>
          <w:footerReference w:type="default" r:id="rId3"/>
          <w:footerReference w:type="first" r:id="rId4"/>
          <w:type w:val="nextPage"/>
          <w:pgSz w:w="12240" w:h="15840"/>
          <w:pgMar w:left="720" w:right="720" w:gutter="0" w:header="0" w:top="1440"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1. FINANCIAL STATEMENTS - (Continued)</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t>NOTES TO CONSOLIDATED FINANCIAL STATEMENTS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consolidated financial statements included herein have been prepared by Enron Corp. (Enron) without audit pursuant to the rules and regulations of the Securities and Exchange Commission.  Accordingly, these statements reflect all adjustments (consisting only of normal recurring entries) which are, in the opinion of management, necessary for a fair statement of the financial results for the interim periods.  Certain information and notes normally included in financial statements prepared in accordance with generally accepted accounting principles have been condensed or omitted pursuant to such rules and regulations, although Enron believes that the disclosures are adequate to make the information presented not misleading.  These consolidated financial statements should be read in conjunction with the financial statements and the notes thereto included in Enron's Annual Report on Form 10-K for the year ended December 31, 2000 (Form 10-K).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used from time to time herein as a collective reference to Enron Corp. and its subsidiaries and affiliates.  The businesses of Enron are conducted by the subsidiaries and affiliates whose operations are managed by their respective officers.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2.</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Net cash paid for income taxes for the first quarter of 2001 and 2000 was $100 million and $11 million, respectively.  Cash paid for interest for the same periods, net of amounts capitalized, was $188 million and $185 million, respectively.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Non-Cash Activity.</w:t>
      </w:r>
      <w:r>
        <w:rPr>
          <w:rFonts w:cs="Courier New" w:ascii="Courier New" w:hAnsi="Courier New"/>
        </w:rPr>
        <w:t xml:space="preserve">  In the first quarter of 2001, Enron and a related party entered into an agreement which resulted in non-cash increases to non-current assets and equity.  See Note 7.</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BodyText"/>
        <w:tabs>
          <w:tab w:val="clear" w:pos="720"/>
          <w:tab w:val="left" w:pos="540" w:leader="none"/>
        </w:tabs>
        <w:spacing w:before="0" w:after="0"/>
        <w:rPr/>
      </w:pPr>
      <w:r>
        <w:rPr/>
        <w:tab/>
      </w:r>
      <w:r>
        <w:rPr>
          <w:rFonts w:cs="Courier New" w:ascii="Courier New" w:hAnsi="Courier New"/>
        </w:rPr>
        <w:t xml:space="preserve">In March 2001, Enron acquired all of the limited partner’s interest in an unconsolidated equity affiliate, Joint Energy Development Investments Limited Partnership (JEDI), for $35 million.  As a result of the acquisition, JEDI, which held as an investment 12 million shares of Enron common stock valued at approximately $785 million, has been consolidated.  JEDI’s balance sheet as of the date of acquisition consisted of net assets of approximately $500 million, including merchant investments and other assets of approximately $670 million and third-party debt and debt owed to Enron of approximately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$950 million.  Enron repaid the third-party debt of approximately $620 million prior to March 31,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3.  Litigation and Other Contingencies [to be updated]</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Enron is a party to various claims and litigation, the significant items of which are discussed below.  Although no assurances can be given, Enron believes, based on its experience to date and after considering appropriate reserves that have been established, that the ultimate resolution of such items, individually or in the aggregate, will not have a material adverse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Litigation.</w:t>
      </w:r>
      <w:r>
        <w:rPr>
          <w:rFonts w:cs="Courier New" w:ascii="Courier New" w:hAnsi="Courier New"/>
        </w:rPr>
        <w:t xml:space="preserve">  In 1995, several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21, 1996, an explosion occurred in or around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have agreed not to litigate further that issue, but to move these suits toward settlements or trials to determine whether each plaintiff was injured as a result of the explosion and, if so, the lawful damages attributable to such injury. The defendants have agreed on a fund for settlements or final awards. Numerous claims have been settled.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b/>
        </w:rPr>
        <w:tab/>
        <w:t>Trojan Investment Recovery.</w:t>
      </w:r>
      <w:r>
        <w:rPr>
          <w:rFonts w:cs="Courier New" w:ascii="Courier New" w:hAnsi="Courier New"/>
        </w:rPr>
        <w:t xml:space="preserve">  In early 1993, PGE ceased commercial operation of the Trojan nuclear power generating facility.  The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 xml:space="preserve">In August 2000, PGE entered into agreements with CUB and the staff of the OPUC to settle the litigation related to PGE’s recovery of its investment in the Trojan plant.  Under the agreements,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CUB’s withdrawal, URP is the one remaining significant adverse party in the litigation.  URP has indicated that it plans to continue to challenge the OPUC order allowing PGE recovery of its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Enron cannot predict the outcome of these actions.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4.</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The computation of basic and diluted earnings per share is as follows (in millions, except per share amounts):</w:t>
      </w:r>
    </w:p>
    <w:p>
      <w:pPr>
        <w:pStyle w:val="Normal"/>
        <w:tabs>
          <w:tab w:val="clear" w:pos="720"/>
          <w:tab w:val="left" w:pos="540" w:leader="none"/>
          <w:tab w:val="left" w:pos="6120" w:leader="none"/>
          <w:tab w:val="center" w:pos="7290" w:leader="none"/>
          <w:tab w:val="center" w:pos="8010" w:leader="none"/>
          <w:tab w:val="left" w:pos="8460" w:leader="none"/>
        </w:tabs>
        <w:jc w:val="both"/>
        <w:rPr>
          <w:rFonts w:ascii="Courier New" w:hAnsi="Courier New" w:cs="Courier New"/>
        </w:rPr>
      </w:pPr>
      <w:r>
        <w:rPr>
          <w:rFonts w:cs="Courier New" w:ascii="Courier New" w:hAnsi="Courier New"/>
        </w:rPr>
        <w:tab/>
        <w:tab/>
        <w:tab/>
        <w:t>Three Months Ended</w:t>
      </w:r>
    </w:p>
    <w:p>
      <w:pPr>
        <w:pStyle w:val="Normal"/>
        <w:tabs>
          <w:tab w:val="clear" w:pos="720"/>
          <w:tab w:val="left" w:pos="540" w:leader="none"/>
          <w:tab w:val="left" w:pos="6120" w:leader="none"/>
          <w:tab w:val="center" w:pos="7290" w:leader="none"/>
          <w:tab w:val="center" w:pos="8010" w:leader="none"/>
          <w:tab w:val="left" w:pos="846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March 31,</w:t>
        <w:tab/>
        <w:tab/>
      </w:r>
    </w:p>
    <w:p>
      <w:pPr>
        <w:pStyle w:val="Normal"/>
        <w:tabs>
          <w:tab w:val="clear" w:pos="720"/>
          <w:tab w:val="left" w:pos="540" w:leader="none"/>
          <w:tab w:val="left" w:pos="6120" w:leader="none"/>
          <w:tab w:val="center" w:pos="6480" w:leader="none"/>
          <w:tab w:val="center" w:pos="7920" w:leader="none"/>
          <w:tab w:val="left" w:pos="846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t>Numerator:</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Basic</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Income before cumulative effect of</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accounting changes</w:t>
        <w:tab/>
        <w:t>$ 406</w:t>
        <w:tab/>
        <w:t>$ 338</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Preferred stock dividends:</w:t>
      </w:r>
    </w:p>
    <w:p>
      <w:pPr>
        <w:pStyle w:val="Header"/>
        <w:tabs>
          <w:tab w:val="clear" w:pos="4320"/>
          <w:tab w:val="clear" w:pos="8640"/>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ab/>
        <w:t>Second Preferred Stock</w:t>
        <w:tab/>
        <w:t>(4)</w:t>
        <w:tab/>
        <w:t>(4)</w:t>
      </w:r>
    </w:p>
    <w:p>
      <w:pPr>
        <w:pStyle w:val="Normal"/>
        <w:tabs>
          <w:tab w:val="left" w:pos="360" w:leader="none"/>
          <w:tab w:val="left" w:pos="720" w:leader="none"/>
          <w:tab w:val="left" w:pos="1080" w:leader="none"/>
          <w:tab w:val="decimal" w:pos="6840" w:leader="none"/>
          <w:tab w:val="decimal" w:pos="8280" w:leader="none"/>
        </w:tabs>
        <w:rPr/>
      </w:pPr>
      <w:r>
        <w:rPr>
          <w:rFonts w:cs="Courier New" w:ascii="Courier New" w:hAnsi="Courier New"/>
        </w:rPr>
        <w:tab/>
        <w:tab/>
        <w:tab/>
        <w:t>Series B Preferred Stock</w:t>
        <w:tab/>
      </w:r>
      <w:r>
        <w:rPr>
          <w:rFonts w:cs="Courier New" w:ascii="Courier New" w:hAnsi="Courier New"/>
          <w:u w:val="single"/>
        </w:rPr>
        <w:t xml:space="preserve">  (16)</w:t>
        <w:tab/>
        <w:t xml:space="preserve">  (16</w:t>
      </w:r>
      <w:r>
        <w:rPr>
          <w:rFonts w:cs="Courier New" w:ascii="Courier New" w:hAnsi="Courier New"/>
        </w:rPr>
        <w:t>)</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Income available to common shareholders</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before cumulative effect of accounting</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changes</w:t>
        <w:tab/>
        <w:t>386</w:t>
        <w:tab/>
        <w:t>318</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19</w:t>
        <w:tab/>
        <w:t xml:space="preserve">    -</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Income available to common shareholders</w:t>
        <w:tab/>
      </w:r>
      <w:r>
        <w:rPr>
          <w:rFonts w:cs="Courier New" w:ascii="Courier New" w:hAnsi="Courier New"/>
          <w:u w:val="double"/>
        </w:rPr>
        <w:t>$ 405</w:t>
        <w:tab/>
        <w:t>$ 318</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Diluted</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Income available to common shareholders</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before cumulative effect of accounting</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changes</w:t>
        <w:tab/>
        <w:t>$ 386</w:t>
        <w:tab/>
        <w:t>$ 318</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Effect of assumed conversion of</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 xml:space="preserve"> dilutive securities:</w:t>
      </w:r>
    </w:p>
    <w:p>
      <w:pPr>
        <w:pStyle w:val="Header"/>
        <w:tabs>
          <w:tab w:val="clear" w:pos="4320"/>
          <w:tab w:val="clear" w:pos="8640"/>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ab/>
        <w:t>Second Preferred Stock</w:t>
        <w:tab/>
        <w:t>4</w:t>
        <w:tab/>
        <w:t xml:space="preserve">    4</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ab/>
        <w:t>Series B Preferred Stock</w:t>
        <w:tab/>
      </w:r>
      <w:r>
        <w:rPr>
          <w:rFonts w:cs="Courier New" w:ascii="Courier New" w:hAnsi="Courier New"/>
          <w:u w:val="single"/>
        </w:rPr>
        <w:t xml:space="preserve">   16</w:t>
        <w:tab/>
        <w:t xml:space="preserve">   16</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Income before cumulative effect of</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 xml:space="preserve"> accounting changes</w:t>
        <w:tab/>
        <w:t>406</w:t>
        <w:tab/>
        <w:t>338</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19</w:t>
        <w:tab/>
        <w:t xml:space="preserve">    -</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Income available to common shareholders</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 xml:space="preserve"> after assumed conversion</w:t>
        <w:tab/>
      </w:r>
      <w:r>
        <w:rPr>
          <w:rFonts w:cs="Courier New" w:ascii="Courier New" w:hAnsi="Courier New"/>
          <w:u w:val="double"/>
        </w:rPr>
        <w:t>$ 425</w:t>
        <w:tab/>
        <w:t>$ 338</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Denominator:</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Denominator for basic earnings per</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 xml:space="preserve"> share - weighted-average shares</w:t>
        <w:tab/>
        <w:t>752</w:t>
        <w:tab/>
        <w:t>723</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Effect of dilutive securities:</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Preferred stock:</w:t>
      </w:r>
    </w:p>
    <w:p>
      <w:pPr>
        <w:pStyle w:val="Header"/>
        <w:tabs>
          <w:tab w:val="clear" w:pos="4320"/>
          <w:tab w:val="clear" w:pos="8640"/>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ab/>
        <w:t>Second Preferred Stock</w:t>
        <w:tab/>
        <w:t>33</w:t>
        <w:tab/>
        <w:t>35</w:t>
      </w:r>
    </w:p>
    <w:p>
      <w:pPr>
        <w:pStyle w:val="Normal"/>
        <w:tabs>
          <w:tab w:val="left" w:pos="360" w:leader="none"/>
          <w:tab w:val="left" w:pos="720" w:leader="none"/>
          <w:tab w:val="left" w:pos="1080" w:leader="none"/>
          <w:tab w:val="decimal" w:pos="6840" w:leader="none"/>
          <w:tab w:val="decimal" w:pos="8280" w:leader="none"/>
        </w:tabs>
        <w:rPr>
          <w:rFonts w:ascii="Courier New" w:hAnsi="Courier New" w:cs="Courier New"/>
        </w:rPr>
      </w:pPr>
      <w:r>
        <w:rPr>
          <w:rFonts w:cs="Courier New" w:ascii="Courier New" w:hAnsi="Courier New"/>
        </w:rPr>
        <w:tab/>
        <w:tab/>
        <w:tab/>
        <w:t>Series B Preferred Stock</w:t>
        <w:tab/>
        <w:t>50</w:t>
        <w:tab/>
        <w:t>50</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ab/>
        <w:t>Stock options and other equity instruments</w:t>
        <w:tab/>
      </w:r>
      <w:r>
        <w:rPr>
          <w:rFonts w:cs="Courier New" w:ascii="Courier New" w:hAnsi="Courier New"/>
          <w:u w:val="single"/>
        </w:rPr>
        <w:t xml:space="preserve">   37</w:t>
        <w:tab/>
        <w:t xml:space="preserve">   44</w:t>
      </w:r>
    </w:p>
    <w:p>
      <w:pPr>
        <w:pStyle w:val="Normal"/>
        <w:tabs>
          <w:tab w:val="left" w:pos="360" w:leader="none"/>
          <w:tab w:val="left" w:pos="720" w:leader="none"/>
          <w:tab w:val="decimal" w:pos="6840" w:leader="none"/>
          <w:tab w:val="decimal" w:pos="8280" w:leader="none"/>
        </w:tabs>
        <w:rPr/>
      </w:pPr>
      <w:r>
        <w:rPr>
          <w:rFonts w:cs="Courier New" w:ascii="Courier New" w:hAnsi="Courier New"/>
        </w:rPr>
        <w:tab/>
        <w:t>Dilutive potential common shares</w:t>
        <w:tab/>
      </w:r>
      <w:r>
        <w:rPr>
          <w:rFonts w:cs="Courier New" w:ascii="Courier New" w:hAnsi="Courier New"/>
          <w:u w:val="single"/>
        </w:rPr>
        <w:t xml:space="preserve">  120</w:t>
        <w:tab/>
        <w:t xml:space="preserve">  129</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Denominator for diluted earnings per</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 xml:space="preserve"> share - adjusted weighted-average</w:t>
      </w:r>
    </w:p>
    <w:p>
      <w:pPr>
        <w:pStyle w:val="Normal"/>
        <w:tabs>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tab/>
        <w:t xml:space="preserve"> shares and assumed conversions</w:t>
        <w:tab/>
      </w:r>
      <w:r>
        <w:rPr>
          <w:rFonts w:cs="Courier New" w:ascii="Courier New" w:hAnsi="Courier New"/>
          <w:u w:val="double"/>
        </w:rPr>
        <w:t xml:space="preserve">  872</w:t>
        <w:tab/>
        <w:t xml:space="preserve">  852</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Basic earnings per share:</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Before cumulative effect of</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accounting changes</w:t>
        <w:tab/>
        <w:t>$0.51</w:t>
        <w:tab/>
        <w:t>$0.44</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0.03</w:t>
        <w:tab/>
        <w:t xml:space="preserve">    -</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Basic earnings per share</w:t>
        <w:tab/>
      </w:r>
      <w:r>
        <w:rPr>
          <w:rFonts w:cs="Courier New" w:ascii="Courier New" w:hAnsi="Courier New"/>
          <w:u w:val="double"/>
        </w:rPr>
        <w:t>$0.54</w:t>
        <w:tab/>
        <w:t>$0.44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Diluted earnings per share:</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Before cumulative effect of</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accounting changes</w:t>
        <w:tab/>
        <w:t>$0.47</w:t>
        <w:tab/>
        <w:t>$0.40</w:t>
      </w:r>
    </w:p>
    <w:p>
      <w:pPr>
        <w:pStyle w:val="Normal"/>
        <w:tabs>
          <w:tab w:val="left" w:pos="360" w:leader="none"/>
          <w:tab w:val="left" w:pos="720" w:leader="none"/>
          <w:tab w:val="decimal" w:pos="6480" w:leader="none"/>
          <w:tab w:val="decimal" w:pos="828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0.02</w:t>
        <w:tab/>
        <w:t xml:space="preserve">    -</w:t>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Diluted earnings per share</w:t>
        <w:tab/>
      </w:r>
      <w:r>
        <w:rPr>
          <w:rFonts w:cs="Courier New" w:ascii="Courier New" w:hAnsi="Courier New"/>
          <w:u w:val="double"/>
        </w:rPr>
        <w:t>$0.49</w:t>
        <w:tab/>
        <w:t>$0.40</w:t>
      </w:r>
    </w:p>
    <w:p>
      <w:pPr>
        <w:pStyle w:val="Normal"/>
        <w:tabs>
          <w:tab w:val="clear" w:pos="720"/>
          <w:tab w:val="left" w:pos="540" w:leader="none"/>
        </w:tabs>
        <w:rPr>
          <w:rFonts w:ascii="Courier New" w:hAnsi="Courier New" w:cs="Courier New"/>
          <w:b/>
        </w:rPr>
      </w:pPr>
      <w:r>
        <w:rPr>
          <w:rFonts w:cs="Courier New" w:ascii="Courier New" w:hAnsi="Courier New"/>
          <w:b/>
        </w:rPr>
        <w:t>5.</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includes the following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Net income</w:t>
        <w:tab/>
        <w:t>$ 425</w:t>
        <w:tab/>
        <w:t>$ 338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comprehensive income:</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Foreign currency translation adjustment</w:t>
      </w:r>
      <w:r>
        <w:rPr>
          <w:rFonts w:cs="Courier New" w:ascii="Courier New" w:hAnsi="Courier New"/>
          <w:sz w:val="16"/>
        </w:rPr>
        <w:t>(a)</w:t>
      </w:r>
      <w:r>
        <w:rPr>
          <w:rFonts w:cs="Courier New" w:ascii="Courier New" w:hAnsi="Courier New"/>
        </w:rPr>
        <w:tab/>
        <w:t>(150)</w:t>
        <w:tab/>
        <w:t xml:space="preserve">   (2)</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Derivative instruments:</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Net loss on derivative instruments</w:t>
        <w:tab/>
        <w:t>(3)</w:t>
        <w:tab/>
        <w:t>-</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Cumulative effect of accounting changes</w:t>
        <w:tab/>
        <w:t>17</w:t>
        <w:tab/>
        <w:t>-</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Reclassification of net defined loss</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 xml:space="preserve"> on derivative instruments</w:t>
        <w:tab/>
        <w:t>(17)</w:t>
        <w:tab/>
        <w:t>-</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Other</w:t>
        <w:tab/>
        <w:t>[6]</w:t>
        <w:tab/>
        <w:t>-</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Change in value of available-for-sale</w:t>
      </w:r>
    </w:p>
    <w:p>
      <w:pPr>
        <w:pStyle w:val="Normal"/>
        <w:tabs>
          <w:tab w:val="left" w:pos="360" w:leader="none"/>
          <w:tab w:val="left" w:pos="720" w:leader="none"/>
          <w:tab w:val="decimal" w:pos="6480" w:leader="none"/>
          <w:tab w:val="decimal" w:pos="7920" w:leader="none"/>
        </w:tabs>
        <w:rPr>
          <w:rFonts w:ascii="Courier New" w:hAnsi="Courier New" w:cs="Courier New"/>
          <w:u w:val="single"/>
        </w:rPr>
      </w:pPr>
      <w:r>
        <w:rPr>
          <w:rFonts w:cs="Courier New" w:ascii="Courier New" w:hAnsi="Courier New"/>
        </w:rPr>
        <w:tab/>
        <w:t xml:space="preserve"> investments</w:t>
        <w:tab/>
      </w:r>
      <w:r>
        <w:rPr>
          <w:rFonts w:cs="Courier New" w:ascii="Courier New" w:hAnsi="Courier New"/>
          <w:u w:val="single"/>
        </w:rPr>
        <w:t xml:space="preserve">    1</w:t>
        <w:tab/>
        <w:t xml:space="preserve">  (13</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Total comprehensive income</w:t>
        <w:tab/>
      </w:r>
      <w:r>
        <w:rPr>
          <w:rFonts w:cs="Courier New" w:ascii="Courier New" w:hAnsi="Courier New"/>
          <w:u w:val="double"/>
        </w:rPr>
        <w:t>$ 273</w:t>
        <w:tab/>
        <w:t>$ 323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3"/>
        <w:tabs>
          <w:tab w:val="clear" w:pos="360"/>
          <w:tab w:val="left" w:pos="540" w:leader="none"/>
        </w:tabs>
        <w:rPr/>
      </w:pPr>
      <w:r>
        <w:rPr/>
        <w:t>(a)</w:t>
        <w:tab/>
        <w:t>Change primarily reflects the decline in value of the Brazilian real.</w:t>
      </w:r>
    </w:p>
    <w:p>
      <w:pPr>
        <w:pStyle w:val="Header"/>
        <w:tabs>
          <w:tab w:val="clear" w:pos="4320"/>
          <w:tab w:val="clear" w:pos="8640"/>
          <w:tab w:val="left" w:pos="540" w:leader="none"/>
        </w:tabs>
        <w:rPr>
          <w:rFonts w:ascii="Courier New" w:hAnsi="Courier New" w:cs="Courier New"/>
          <w:bCs/>
        </w:rPr>
      </w:pPr>
      <w:r>
        <w:rPr>
          <w:rFonts w:cs="Courier New" w:ascii="Courier New" w:hAnsi="Courier New"/>
          <w:bCs/>
        </w:rPr>
      </w:r>
    </w:p>
    <w:p>
      <w:pPr>
        <w:pStyle w:val="Normal"/>
        <w:tabs>
          <w:tab w:val="clear" w:pos="720"/>
          <w:tab w:val="left" w:pos="540" w:leader="none"/>
        </w:tabs>
        <w:rPr>
          <w:rFonts w:ascii="Courier New" w:hAnsi="Courier New" w:cs="Courier New"/>
          <w:b/>
        </w:rPr>
      </w:pPr>
      <w:r>
        <w:rPr>
          <w:rFonts w:cs="Courier New" w:ascii="Courier New" w:hAnsi="Courier New"/>
          <w:b/>
        </w:rPr>
        <w:t>6.</w:t>
        <w:tab/>
        <w:t>BUSINESS SEGMENT INFORMATION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Enron’s business is divided into operating segments, defined as components of an enterprise about which financial information is available and evaluated regularly by the Policy Committee, which serves as the chief operating decision making group.  The Policy Committee, which consists of the Chairman, President, Vice Chairman and certain key officers of Enron, replaced the Office of the Chairman as the chief operating decision making group.</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Policy Committee transferred, beginning in 2001, the management of risk management activities associated with Retail Energy Services’ customer contracts to the Wholesale Services segment, consolidating all energy commodity risk management activities within one operating segment.  In 2001, Retail Energy Services’ business include the origination of new commodity contracts, energy asset management and services and the management of customer relationships.  Year 2000 amounts in the following table have been restated to reflect this change in the management of these activities.</w:t>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center" w:pos="3780" w:leader="none"/>
          <w:tab w:val="center" w:pos="5220" w:leader="none"/>
          <w:tab w:val="center" w:pos="6480" w:leader="none"/>
          <w:tab w:val="center" w:pos="7830" w:leader="none"/>
          <w:tab w:val="center" w:pos="9180" w:leader="none"/>
          <w:tab w:val="center" w:pos="10260" w:leader="none"/>
        </w:tabs>
        <w:ind w:end="-180"/>
        <w:rPr>
          <w:rFonts w:ascii="Courier New" w:hAnsi="Courier New" w:cs="Courier New"/>
          <w:sz w:val="16"/>
        </w:rPr>
      </w:pPr>
      <w:r>
        <w:rPr>
          <w:rFonts w:cs="Courier New" w:ascii="Courier New" w:hAnsi="Courier New"/>
          <w:sz w:val="16"/>
        </w:rPr>
        <w:tab/>
        <w:tab/>
        <w:t>Retail</w:t>
        <w:tab/>
        <w:tab/>
        <w:t>Transportation</w:t>
        <w:tab/>
        <w:t>Corporate</w:t>
      </w:r>
    </w:p>
    <w:p>
      <w:pPr>
        <w:pStyle w:val="Normal"/>
        <w:tabs>
          <w:tab w:val="clear" w:pos="720"/>
          <w:tab w:val="center" w:pos="3780" w:leader="none"/>
          <w:tab w:val="center" w:pos="5220" w:leader="none"/>
          <w:tab w:val="center" w:pos="6480" w:leader="none"/>
          <w:tab w:val="center" w:pos="7830" w:leader="none"/>
          <w:tab w:val="center" w:pos="9180" w:leader="none"/>
          <w:tab w:val="center" w:pos="10260" w:leader="none"/>
        </w:tabs>
        <w:ind w:end="-180"/>
        <w:rPr>
          <w:rFonts w:ascii="Courier New" w:hAnsi="Courier New" w:cs="Courier New"/>
          <w:sz w:val="16"/>
        </w:rPr>
      </w:pPr>
      <w:r>
        <w:rPr>
          <w:rFonts w:cs="Courier New" w:ascii="Courier New" w:hAnsi="Courier New"/>
          <w:sz w:val="16"/>
        </w:rPr>
        <w:tab/>
        <w:t>Wholesale</w:t>
        <w:tab/>
        <w:t>Energy</w:t>
        <w:tab/>
        <w:t>Broadband</w:t>
        <w:tab/>
        <w:t>and</w:t>
        <w:tab/>
        <w:t>and</w:t>
      </w:r>
    </w:p>
    <w:p>
      <w:pPr>
        <w:pStyle w:val="Normal"/>
        <w:pBdr>
          <w:bottom w:val="single" w:sz="6" w:space="1" w:color="000000"/>
        </w:pBdr>
        <w:tabs>
          <w:tab w:val="clear" w:pos="720"/>
          <w:tab w:val="center" w:pos="3780" w:leader="none"/>
          <w:tab w:val="center" w:pos="5220" w:leader="none"/>
          <w:tab w:val="center" w:pos="6480" w:leader="none"/>
          <w:tab w:val="center" w:pos="7830" w:leader="none"/>
          <w:tab w:val="center" w:pos="9180" w:leader="none"/>
          <w:tab w:val="center" w:pos="10260" w:leader="none"/>
        </w:tabs>
        <w:ind w:end="-180"/>
        <w:rPr>
          <w:rFonts w:ascii="Courier New" w:hAnsi="Courier New" w:cs="Courier New"/>
          <w:sz w:val="16"/>
        </w:rPr>
      </w:pPr>
      <w:r>
        <w:rPr>
          <w:rFonts w:cs="Courier New" w:ascii="Courier New" w:hAnsi="Courier New"/>
          <w:sz w:val="16"/>
        </w:rPr>
        <w:t>(In Millions)</w:t>
        <w:tab/>
        <w:t>Services(c)</w:t>
        <w:tab/>
        <w:t>Services(c)</w:t>
        <w:tab/>
        <w:t>Services</w:t>
        <w:tab/>
        <w:t>Distribution</w:t>
        <w:tab/>
        <w:t>Other(d)</w:t>
        <w:tab/>
        <w:t>Total</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Three Months Ended</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March 31,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$48,407</w:t>
        <w:tab/>
        <w:t>$  642</w:t>
        <w:tab/>
        <w:t>$   85</w:t>
        <w:tab/>
        <w:t>$  933</w:t>
        <w:tab/>
        <w:t>$   62</w:t>
        <w:tab/>
        <w:t>$50,129</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99</w:t>
        <w:tab/>
        <w:t>51</w:t>
        <w:tab/>
        <w:t>(2)</w:t>
        <w:tab/>
        <w:t xml:space="preserve">    80</w:t>
        <w:tab/>
        <w:t>(228)</w:t>
        <w:tab/>
        <w:t>-</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pPr>
      <w:r>
        <w:rPr>
          <w:rFonts w:cs="Courier New" w:ascii="Courier New" w:hAnsi="Courier New"/>
          <w:sz w:val="18"/>
        </w:rPr>
        <w:tab/>
        <w:t>Total revenues</w:t>
        <w:tab/>
      </w:r>
      <w:r>
        <w:rPr>
          <w:rFonts w:cs="Courier New" w:ascii="Courier New" w:hAnsi="Courier New"/>
          <w:sz w:val="18"/>
          <w:u w:val="single"/>
        </w:rPr>
        <w:t>$48,506</w:t>
        <w:tab/>
        <w:t>$  693</w:t>
        <w:tab/>
        <w:t>$   83</w:t>
        <w:tab/>
        <w:t>$1,013</w:t>
        <w:tab/>
        <w:t>$ (166)</w:t>
        <w:tab/>
        <w:t>$50,129</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Income (loss) before interest,</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minority interests and </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u w:val="single"/>
        </w:rPr>
      </w:pPr>
      <w:r>
        <w:rPr>
          <w:rFonts w:eastAsia="Courier New" w:cs="Courier New" w:ascii="Courier New" w:hAnsi="Courier New"/>
          <w:sz w:val="18"/>
          <w:u w:val="single"/>
        </w:rPr>
        <w:t xml:space="preserve"> </w:t>
      </w:r>
      <w:r>
        <w:rPr>
          <w:rFonts w:cs="Courier New" w:ascii="Courier New" w:hAnsi="Courier New"/>
          <w:sz w:val="18"/>
          <w:u w:val="single"/>
        </w:rPr>
        <w:t>income taxes</w:t>
        <w:tab/>
        <w:t>$   755</w:t>
        <w:tab/>
        <w:t>$   40</w:t>
        <w:tab/>
        <w:t>$  (35)</w:t>
        <w:tab/>
        <w:t>$  193</w:t>
        <w:tab/>
        <w:t>$ (158)</w:t>
        <w:tab/>
        <w:t>$   795</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u w:val="single"/>
        </w:rPr>
      </w:pPr>
      <w:r>
        <w:rPr>
          <w:rFonts w:cs="Courier New" w:ascii="Courier New" w:hAnsi="Courier New"/>
          <w:sz w:val="18"/>
          <w:u w:val="single"/>
        </w:rPr>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Three Months Ended</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March 31, 2000</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$12,162</w:t>
        <w:tab/>
        <w:t>$  288</w:t>
        <w:tab/>
        <w:t>$   59</w:t>
        <w:tab/>
        <w:t>$  599</w:t>
        <w:tab/>
        <w:t>$   37</w:t>
        <w:tab/>
        <w:t>$13,145</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167</w:t>
        <w:tab/>
        <w:t>26</w:t>
        <w:tab/>
        <w:t>-</w:t>
        <w:tab/>
        <w:t xml:space="preserve">     4</w:t>
        <w:tab/>
        <w:t>(197)</w:t>
        <w:tab/>
        <w:t>-</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pPr>
      <w:r>
        <w:rPr>
          <w:rFonts w:cs="Courier New" w:ascii="Courier New" w:hAnsi="Courier New"/>
          <w:sz w:val="18"/>
        </w:rPr>
        <w:tab/>
        <w:t>Total revenues</w:t>
        <w:tab/>
      </w:r>
      <w:r>
        <w:rPr>
          <w:rFonts w:cs="Courier New" w:ascii="Courier New" w:hAnsi="Courier New"/>
          <w:sz w:val="18"/>
          <w:u w:val="single"/>
        </w:rPr>
        <w:t>$12,329</w:t>
        <w:tab/>
        <w:t>$  314</w:t>
        <w:tab/>
        <w:t>$   59</w:t>
        <w:tab/>
        <w:t>$  603</w:t>
        <w:tab/>
        <w:t>$ (160)</w:t>
        <w:tab/>
        <w:t>$13,145</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cs="Courier New" w:ascii="Courier New" w:hAnsi="Courier New"/>
          <w:sz w:val="18"/>
        </w:rPr>
        <w:t>Income (loss) before interest,</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 xml:space="preserve">minority interests and </w:t>
      </w:r>
    </w:p>
    <w:p>
      <w:pPr>
        <w:pStyle w:val="Normal"/>
        <w:tabs>
          <w:tab w:val="left" w:pos="360" w:leader="none"/>
          <w:tab w:val="left" w:pos="720" w:leader="none"/>
          <w:tab w:val="decimal" w:pos="4140" w:leader="none"/>
          <w:tab w:val="decimal" w:pos="5490" w:leader="none"/>
          <w:tab w:val="decimal" w:pos="6840" w:leader="none"/>
          <w:tab w:val="decimal" w:pos="8100" w:leader="none"/>
          <w:tab w:val="decimal" w:pos="9450" w:leader="none"/>
          <w:tab w:val="decimal" w:pos="10620" w:leader="none"/>
        </w:tabs>
        <w:ind w:end="-180"/>
        <w:rPr>
          <w:rFonts w:ascii="Courier New" w:hAnsi="Courier New" w:cs="Courier New"/>
          <w:sz w:val="18"/>
          <w:u w:val="single"/>
        </w:rPr>
      </w:pPr>
      <w:r>
        <w:rPr>
          <w:rFonts w:eastAsia="Courier New" w:cs="Courier New" w:ascii="Courier New" w:hAnsi="Courier New"/>
          <w:sz w:val="18"/>
          <w:u w:val="single"/>
        </w:rPr>
        <w:t xml:space="preserve"> </w:t>
      </w:r>
      <w:r>
        <w:rPr>
          <w:rFonts w:cs="Courier New" w:ascii="Courier New" w:hAnsi="Courier New"/>
          <w:sz w:val="18"/>
          <w:u w:val="single"/>
        </w:rPr>
        <w:t>income taxes</w:t>
        <w:tab/>
        <w:t>$   429</w:t>
        <w:tab/>
        <w:t>$    6</w:t>
        <w:tab/>
        <w:t>$    -</w:t>
        <w:tab/>
        <w:t>$  233</w:t>
        <w:tab/>
        <w:t>$  (44)</w:t>
        <w:tab/>
        <w:t>$   624</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u w:val="single"/>
        </w:rPr>
      </w:pPr>
      <w:r>
        <w:rPr>
          <w:rFonts w:cs="Courier New" w:ascii="Courier New" w:hAnsi="Courier New"/>
          <w:sz w:val="18"/>
          <w:u w:val="single"/>
        </w:rPr>
      </w:r>
    </w:p>
    <w:p>
      <w:pPr>
        <w:pStyle w:val="Normal"/>
        <w:tabs>
          <w:tab w:val="clear" w:pos="720"/>
          <w:tab w:val="left" w:pos="540" w:leader="none"/>
        </w:tabs>
        <w:ind w:hanging="540" w:start="540" w:end="0"/>
        <w:rPr>
          <w:rFonts w:ascii="Courier New" w:hAnsi="Courier New" w:cs="Courier New"/>
          <w:sz w:val="16"/>
        </w:rPr>
      </w:pPr>
      <w:r>
        <w:rPr>
          <w:rFonts w:cs="Courier New" w:ascii="Courier New" w:hAnsi="Courier New"/>
          <w:sz w:val="16"/>
        </w:rPr>
        <w:t>(a)</w:t>
        <w:tab/>
        <w:t>Unaffiliated revenues include sales to unconsolidated affiliates.</w:t>
      </w:r>
    </w:p>
    <w:p>
      <w:pPr>
        <w:pStyle w:val="BodyTextIndent2"/>
        <w:numPr>
          <w:ilvl w:val="0"/>
          <w:numId w:val="2"/>
        </w:numPr>
        <w:rPr/>
      </w:pPr>
      <w:r>
        <w:rPr/>
        <w:t>Intersegment sales are made at prices comparable to those received from unaffiliated customers and in some instances are affected by regulatory considerations.</w:t>
      </w:r>
    </w:p>
    <w:p>
      <w:pPr>
        <w:pStyle w:val="BodyTextIndent2"/>
        <w:numPr>
          <w:ilvl w:val="0"/>
          <w:numId w:val="2"/>
        </w:numPr>
        <w:rPr/>
      </w:pPr>
      <w:r>
        <w:rPr/>
        <w:t>The 2000 amounts have been restated.  Prior to the restatement, Retail Energy Services reported revenues and IBIT of $642 million and $16 million, respectively, for the first quarter of 2000 and $4,615 million and $165 million, respectively, for the full year 2000.  Restated full year 2000 revenues and IBIT were $1,766 million and $173 million, respectively.</w:t>
      </w:r>
    </w:p>
    <w:p>
      <w:pPr>
        <w:pStyle w:val="Normal"/>
        <w:numPr>
          <w:ilvl w:val="0"/>
          <w:numId w:val="2"/>
        </w:numPr>
        <w:rPr>
          <w:rFonts w:ascii="Courier New" w:hAnsi="Courier New" w:cs="Courier New"/>
          <w:sz w:val="16"/>
        </w:rPr>
      </w:pPr>
      <w:r>
        <w:rPr>
          <w:rFonts w:cs="Courier New" w:ascii="Courier New" w:hAnsi="Courier New"/>
          <w:sz w:val="16"/>
        </w:rPr>
        <w:t>Includes consolidating eliminations.</w:t>
      </w:r>
    </w:p>
    <w:p>
      <w:pPr>
        <w:sectPr>
          <w:headerReference w:type="default" r:id="rId16"/>
          <w:headerReference w:type="first" r:id="rId17"/>
          <w:footerReference w:type="default" r:id="rId18"/>
          <w:footerReference w:type="first" r:id="rId19"/>
          <w:type w:val="nextPage"/>
          <w:pgSz w:w="12240" w:h="15840"/>
          <w:pgMar w:left="720" w:right="720" w:gutter="0" w:header="720" w:top="1440" w:footer="720" w:bottom="1440"/>
          <w:pgNumType w:fmt="decimal"/>
          <w:formProt w:val="false"/>
          <w:textDirection w:val="lrTb"/>
          <w:docGrid w:type="default" w:linePitch="360" w:charSpace="0"/>
        </w:sectPr>
      </w:pPr>
    </w:p>
    <w:p>
      <w:pPr>
        <w:pStyle w:val="Normal"/>
        <w:rPr>
          <w:rFonts w:ascii="Courier New" w:hAnsi="Courier New" w:cs="Courier New"/>
          <w:sz w:val="16"/>
        </w:rPr>
      </w:pPr>
      <w:r>
        <w:rPr>
          <w:rFonts w:cs="Courier New" w:ascii="Courier New" w:hAnsi="Courier New"/>
          <w:sz w:val="16"/>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March 31,</w:t>
        <w:tab/>
        <w:t>December 31,</w:t>
      </w:r>
    </w:p>
    <w:p>
      <w:pPr>
        <w:pStyle w:val="Header"/>
        <w:tabs>
          <w:tab w:val="clear" w:pos="4320"/>
          <w:tab w:val="clear" w:pos="8640"/>
          <w:tab w:val="left" w:pos="540" w:leader="none"/>
          <w:tab w:val="left" w:pos="522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Wholesale Services</w:t>
        <w:tab/>
        <w:t>$52,657</w:t>
        <w:tab/>
        <w:t>$51,271</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1,288</w:t>
        <w:tab/>
        <w:t>1,033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1,419</w:t>
        <w:tab/>
        <w:t>1,337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Transportation and Distribution</w:t>
        <w:tab/>
        <w:t>8,438</w:t>
        <w:tab/>
        <w:t>8,283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3,354</w:t>
        <w:tab/>
        <w:t>3,579</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b/>
        <w:t>Total Assets</w:t>
        <w:tab/>
      </w:r>
      <w:r>
        <w:rPr>
          <w:rFonts w:cs="Courier New" w:ascii="Courier New" w:hAnsi="Courier New"/>
          <w:u w:val="double"/>
        </w:rPr>
        <w:t>$67,156</w:t>
        <w:tab/>
        <w:t>$65,503</w:t>
      </w:r>
    </w:p>
    <w:p>
      <w:pPr>
        <w:pStyle w:val="Header"/>
        <w:tabs>
          <w:tab w:val="clear" w:pos="4320"/>
          <w:tab w:val="clear" w:pos="8640"/>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bCs/>
        </w:rPr>
      </w:pPr>
      <w:r>
        <w:rPr>
          <w:rFonts w:cs="Courier New" w:ascii="Courier New" w:hAnsi="Courier New"/>
          <w:b/>
          <w:bCs/>
        </w:rPr>
        <w:t>7.</w:t>
        <w:tab/>
        <w:t xml:space="preserve">DERIVATIVE INSTRUMENTS </w:t>
      </w:r>
    </w:p>
    <w:p>
      <w:pPr>
        <w:pStyle w:val="Normal"/>
        <w:tabs>
          <w:tab w:val="clear" w:pos="720"/>
          <w:tab w:val="left" w:pos="540" w:leader="none"/>
        </w:tabs>
        <w:rPr>
          <w:rFonts w:ascii="Courier New" w:hAnsi="Courier New" w:cs="Courier New"/>
          <w:b/>
          <w:bCs/>
        </w:rPr>
      </w:pPr>
      <w:r>
        <w:rPr>
          <w:rFonts w:cs="Courier New" w:ascii="Courier New" w:hAnsi="Courier New"/>
          <w:b/>
          <w:bC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an after-tax non-cash gain of $17 million in “Other Comprehensive Income,” a component of shareholders’ equity and reclassified $532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required for certain qualifying hedges.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trading operations, which are subject to parameters established by Enron’s Board of Directors.  The adoption of SFAS No. 133 has no impact on the way Enron accounts for its risk management activities.  On a much more limited basis, Enron’s other businesses enter into derivative instruments, such as forwards, swaps and other contracts, in order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has also entered into a limited number of fair value hedges to protect the fair value of an asset or liability from variability caused by fluctuations in either interest rates or foreign currency exchange rates.  Enron also holds a limited number of derivative instruments in its non-risk management businesses, which do not meet the requirements of SFAS No. 133 for hedge accounting, but provide Enron with an economic hedge of an associated risk.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Excluding the impact of adoption, Enron recognized a net gain of less than $1 million in earnings, classified in “Cost of Gas, Electricity and Other Products” on the Income Statement.  An estimated net gain of $17 million of the “Other Comprehensive Income” balance at March 31, 2001, related to cash flow hedges, is expected to be reclassified to earnings within the next twelve months.  Amounts are reclassified from “Other Comprehensive Income” to earnings to offset the income statement impact of the associated hedged risk.  The maximum amount of time over which cash flow exposure in forecasted transactions are hedged excluding hedges of variable interest rate risk on existing financial instruments is approximately 20 years.  Excluding the impact of adoption, the net gain recognized in earnings for the period related to fair value hedges was $1 million, which is classified in “Interest and Related Charges, net” on the Income Statement.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impact of Enron’s accounting for SFAS No. 133 on earnings and on “Other Comprehensive Income” is dependent upon certain pending interpretations, including those related to “normal purchases and normal sales.”  The interpretation of this issue, and others, are currently under consideration by the Financial Accounting Standards Board.  While the ultimate conclusions reached on interpretations being considered by the FASB could impact the effects of Enron’s accounting for SFAS No. 133, Enron does not believe that such conclusions would have a material effect on Enron’s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8.</w:t>
        <w:tab/>
        <w:t>RELATED PARTY TRANSACTION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During the first quarter of 2001, Enron entered into transactions with limited partnerships (the Related Party), whose general partner is a senior officer of Enron.  The limited partners of the Related Party are unrelated to Enron.  Management believes that the terms of the transactions with the Related Party were reasonable compared to those which could have been negotiated with unrelated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 part of these transactions, Enron has entered into an agreement with entities formed in 2000 (the Entities), which included the obligation to deliver 12 million shares of Enron common stock in March 2005 (the Commitment) and entered into derivative instruments which offset the contingent nature of the restricted forward contracts executed in 2000.  Shares delivered under such derivative instruments are restricted through March 2005.  In exchange, Enron received note receivables from the Entities totaling approximately $827.6 million.  In addition, Enron entered into share settled collar arrangements with the Entities on the 12 million shares of Enron common stock.  Such transactions will be accounted for as equity transactions when settled.  Enron received a $6.5 million note receivable from the Entities to terminate share-settled options on 7.1 million shares of Enron common stock.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recognized net revenues of approximately $154.4 million, primarily related to the change in the market value of derivatives instruments entered into with the Entities in 2000 to hedge certain merchant investments and other assets.  Revenues recognized on the derivative instruments offset market value changes of certain merchant investments and price risk management activities.  In addition, Enron and the Entities terminated certain derivative instruments (originally entered into in 2000) with a combined notional value of approximately $658.5 million.  Enron received a note receivable from the Entities for approximately $81.7 million related to such terminations.  At March 31, 2001, cash in the Entities of $107 million was invested in Enron demand notes.  Enron recognized $22 million and $3.5 million of interest income and interest expense, respectively, on notes receivable from and notes payable to the Entities.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received approximately $62 million from Whitewing Associates, LLC, an unconsolidated equity affiliate, related to securitizations.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b/>
          <w:caps/>
        </w:rPr>
      </w:pPr>
      <w:r>
        <w:rPr>
          <w:rFonts w:cs="Courier New" w:ascii="Courier New" w:hAnsi="Courier New"/>
          <w:b/>
          <w:caps/>
        </w:rPr>
        <w:t>9.  RECENT DEVELOPMENTS</w:t>
      </w:r>
    </w:p>
    <w:p>
      <w:pPr>
        <w:pStyle w:val="Header"/>
        <w:tabs>
          <w:tab w:val="clear" w:pos="4320"/>
          <w:tab w:val="clear" w:pos="8640"/>
          <w:tab w:val="left" w:pos="540" w:leader="none"/>
        </w:tabs>
        <w:rPr>
          <w:rFonts w:ascii="Courier New" w:hAnsi="Courier New" w:cs="Courier New"/>
          <w:b/>
          <w:bCs/>
          <w:caps/>
        </w:rPr>
      </w:pPr>
      <w:r>
        <w:rPr>
          <w:rFonts w:cs="Courier New" w:ascii="Courier New" w:hAnsi="Courier New"/>
          <w:b/>
          <w:bCs/>
          <w:caps/>
        </w:rPr>
      </w:r>
    </w:p>
    <w:p>
      <w:pPr>
        <w:pStyle w:val="BodyText"/>
        <w:tabs>
          <w:tab w:val="clear" w:pos="720"/>
          <w:tab w:val="left" w:pos="540" w:leader="none"/>
        </w:tabs>
        <w:spacing w:before="0" w:after="0"/>
        <w:rPr/>
      </w:pPr>
      <w:r>
        <w:rPr/>
        <w:tab/>
      </w:r>
      <w:r>
        <w:rPr>
          <w:rFonts w:cs="Courier New" w:ascii="Courier New" w:hAnsi="Courier New"/>
          <w:bCs/>
          <w:i/>
          <w:iCs/>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iCs/>
        </w:rPr>
        <w:t xml:space="preserve">India.  </w:t>
      </w:r>
      <w:r>
        <w:rPr>
          <w:rFonts w:cs="Courier New" w:ascii="Courier New" w:hAnsi="Courier New"/>
        </w:rPr>
        <w:t>Enron indirectly owns 50% of the net voting interest in Dabhol Power Company (Dabhol), which owns a 740 megawatt power plant in India.  Dabhol has been in dispute with the Maharashtra State Electricity Board, the purchaser of power from Dabhol and the government of Maharashtra and the federal government of India, the guarantors of payments by the purchaser pursuant to the terms and conditions of the project documents.  There is no assurance that Dabhol will be able to resolve such disputes to its favor and to successfully collect on and to enforce any judgment or settlement.  However, Enron does not believe that any event related to Dabhol would have a material adverse impact on Enron’s financial condition.</w:t>
      </w:r>
    </w:p>
    <w:p>
      <w:pPr>
        <w:pStyle w:val="Normal"/>
        <w:tabs>
          <w:tab w:val="clear" w:pos="72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1440" w:footer="720" w:bottom="1440"/>
          <w:formProt w:val="false"/>
          <w:textDirection w:val="lrTb"/>
          <w:docGrid w:type="default" w:linePitch="360" w:charSpace="0"/>
        </w:sectPr>
      </w:pPr>
    </w:p>
    <w:p>
      <w:pPr>
        <w:pStyle w:val="BodyText"/>
        <w:tabs>
          <w:tab w:val="clear" w:pos="720"/>
          <w:tab w:val="left" w:pos="540" w:leader="none"/>
        </w:tabs>
        <w:spacing w:before="0" w:after="0"/>
        <w:rPr/>
      </w:pPr>
      <w:r>
        <w:rPr>
          <w:rFonts w:cs="Courier New" w:ascii="Courier New" w:hAnsi="Courier New"/>
          <w:i/>
          <w:iCs/>
        </w:rPr>
        <w:tab/>
        <w:t>Termination of Portland General Sales Agreement.</w:t>
      </w:r>
      <w:r>
        <w:rPr>
          <w:rFonts w:cs="Courier New" w:ascii="Courier New" w:hAnsi="Courier New"/>
        </w:rPr>
        <w:t xml:space="preserve">  On April 26, 2001, Enron announced that the previously disclosed agreement to sell Portland General to Sierra Pacific Resources had been terminated by the mutual consent of both parties because the effect of developments in California and Nevada on the purchaser had made completion of the transaction impractical.</w:t>
      </w:r>
    </w:p>
    <w:p>
      <w:pPr>
        <w:sectPr>
          <w:headerReference w:type="default" r:id="rId20"/>
          <w:footerReference w:type="default" r:id="rId21"/>
          <w:type w:val="nextPage"/>
          <w:pgSz w:w="12240" w:h="15840"/>
          <w:pgMar w:left="1800" w:right="1800" w:gutter="0" w:header="720" w:top="1440" w:footer="720" w:bottom="1440"/>
          <w:pgNumType w:fmt="decimal"/>
          <w:formProt w:val="false"/>
          <w:textDirection w:val="lrTb"/>
          <w:docGrid w:type="default" w:linePitch="360" w:charSpace="0"/>
        </w:sectPr>
        <w:pStyle w:val="Header"/>
        <w:tabs>
          <w:tab w:val="clear" w:pos="4320"/>
          <w:tab w:val="clear" w:pos="8640"/>
          <w:tab w:val="left" w:pos="540" w:leader="none"/>
        </w:tabs>
        <w:rPr>
          <w:rFonts w:ascii="Courier New" w:hAnsi="Courier New" w:cs="Courier New"/>
          <w:bCs/>
          <w:caps/>
        </w:rPr>
      </w:pPr>
      <w:r>
        <w:rPr>
          <w:rFonts w:cs="Courier New" w:ascii="Courier New" w:hAnsi="Courier New"/>
          <w:bCs/>
          <w:caps/>
        </w:rPr>
      </w:r>
    </w:p>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2. MANAGEMENT'S DISCUSSION AND ANALYSIS OF</w:t>
      </w:r>
    </w:p>
    <w:p>
      <w:pPr>
        <w:pStyle w:val="Normal"/>
        <w:jc w:val="center"/>
        <w:rPr>
          <w:rFonts w:ascii="Courier New" w:hAnsi="Courier New" w:cs="Courier New"/>
          <w:b/>
        </w:rPr>
      </w:pPr>
      <w:r>
        <w:rPr>
          <w:rFonts w:cs="Courier New" w:ascii="Courier New" w:hAnsi="Courier New"/>
          <w:b/>
        </w:rPr>
        <w:t>FINANCIAL CONDITION AND RESULTS OF OPERATIONS</w:t>
      </w:r>
    </w:p>
    <w:p>
      <w:pPr>
        <w:pStyle w:val="Normal"/>
        <w:jc w:val="center"/>
        <w:rPr>
          <w:rFonts w:ascii="Courier New" w:hAnsi="Courier New" w:cs="Courier New"/>
          <w:b/>
        </w:rPr>
      </w:pPr>
      <w:r>
        <w:rPr>
          <w:rFonts w:cs="Courier New" w:ascii="Courier New" w:hAnsi="Courier New"/>
          <w:b/>
        </w:rPr>
        <w:t>ENRON CORP. AND SUBSIDIARIES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jc w:val="both"/>
        <w:rPr>
          <w:rFonts w:ascii="Courier New" w:hAnsi="Courier New" w:cs="Courier New"/>
          <w:b/>
          <w:u w:val="single"/>
        </w:rPr>
      </w:pPr>
      <w:r>
        <w:rPr>
          <w:rFonts w:cs="Courier New" w:ascii="Courier New" w:hAnsi="Courier New"/>
          <w:b/>
          <w:u w:val="single"/>
        </w:rPr>
        <w:t>RESULTS OF OPERATIONS</w:t>
      </w:r>
    </w:p>
    <w:p>
      <w:pPr>
        <w:pStyle w:val="Normal"/>
        <w:jc w:val="both"/>
        <w:rPr>
          <w:rFonts w:ascii="Courier New" w:hAnsi="Courier New" w:cs="Courier New"/>
          <w:b/>
          <w:u w:val="single"/>
        </w:rPr>
      </w:pPr>
      <w:r>
        <w:rPr>
          <w:rFonts w:cs="Courier New" w:ascii="Courier New" w:hAnsi="Courier New"/>
          <w:b/>
          <w:u w:val="single"/>
        </w:rPr>
      </w:r>
    </w:p>
    <w:p>
      <w:pPr>
        <w:pStyle w:val="Normal"/>
        <w:jc w:val="both"/>
        <w:rPr>
          <w:rFonts w:ascii="Courier New" w:hAnsi="Courier New" w:cs="Courier New"/>
        </w:rPr>
      </w:pPr>
      <w:r>
        <w:rPr>
          <w:rFonts w:cs="Courier New" w:ascii="Courier New" w:hAnsi="Courier New"/>
        </w:rPr>
        <w:t>First Quarter 2001</w:t>
      </w:r>
    </w:p>
    <w:p>
      <w:pPr>
        <w:pStyle w:val="Normal"/>
        <w:jc w:val="both"/>
        <w:rPr>
          <w:rFonts w:ascii="Courier New" w:hAnsi="Courier New" w:cs="Courier New"/>
        </w:rPr>
      </w:pPr>
      <w:r>
        <w:rPr>
          <w:rFonts w:cs="Courier New" w:ascii="Courier New" w:hAnsi="Courier New"/>
        </w:rPr>
        <w:t>vs. First Quarter 2000</w:t>
      </w:r>
    </w:p>
    <w:p>
      <w:pPr>
        <w:pStyle w:val="Normal"/>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review of Enron’s results of operations should be read in conjunction with the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caps/>
        </w:rPr>
        <w:t>Results of Operations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Consolidated Net Income</w:t>
      </w:r>
    </w:p>
    <w:p>
      <w:pPr>
        <w:pStyle w:val="Normal"/>
        <w:tabs>
          <w:tab w:val="clear" w:pos="720"/>
          <w:tab w:val="left" w:pos="540" w:leader="none"/>
        </w:tabs>
        <w:rPr>
          <w:rFonts w:ascii="Courier New" w:hAnsi="Courier New" w:cs="Courier New"/>
        </w:rPr>
      </w:pPr>
      <w:r>
        <w:rPr>
          <w:rFonts w:cs="Courier New" w:ascii="Courier New" w:hAnsi="Courier New"/>
        </w:rPr>
        <w:tab/>
        <w:t xml:space="preserve">Enron's first quarter 2001 net income was $406 million (excluding a gain of $19 million related to a cumulative effect of accounting changes) compared to $338 million in the first quarter of 2000.  Enron’s business is divided into five operating segments including: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Wholesale Services.  Wholesale Services includes Enron's wholesale businesses around the world.  Wholesale Services operates in developed markets such as North America and Europe, as well as developing or newly deregulating markets including South America, India and Japan.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Retail Energy Services.  Enron, through its subsidiary Enron Energy Services, LLC (Energy Services), is extending its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Broadband Services.  Enron's broadband services business (Broadband Services) provides customers with a single source for broadband services, including bandwidth intermediation and the delivery of premium content.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Transportation and Distribution.  Transportation and Distribution consists of Enron Transportation Services (Transportation Services) and Portland General.  Transportation Services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Corporate and Other.  Corporate and Other includes Enron's investment in Azurix Corp. (Azurix), which provides water and wastewater services, results of Enron Renewable Energy Corp. (EREC), which develops and constructs wind-generated power projects, and the operations of Enron's methanol and MTBE plants as well as overall corporate activities of Enron.</w:t>
      </w:r>
    </w:p>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Basic and diluted earnings per share of common stock were as follows: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Basic earnings per share:</w:t>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ab/>
        <w:t>Before cumulative effect of accounting</w:t>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ab/>
        <w:t xml:space="preserve"> changes</w:t>
        <w:tab/>
        <w:t>$ 0.51</w:t>
        <w:tab/>
        <w:t>$ 0.44</w:t>
      </w:r>
    </w:p>
    <w:p>
      <w:pPr>
        <w:pStyle w:val="Normal"/>
        <w:tabs>
          <w:tab w:val="clear" w:pos="720"/>
          <w:tab w:val="left" w:pos="360" w:leader="none"/>
          <w:tab w:val="decimal" w:pos="612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0.03</w:t>
        <w:tab/>
        <w:t xml:space="preserve">     -</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ab/>
        <w:tab/>
      </w:r>
      <w:r>
        <w:rPr>
          <w:rFonts w:cs="Courier New" w:ascii="Courier New" w:hAnsi="Courier New"/>
          <w:u w:val="double"/>
        </w:rPr>
        <w:t>$ 0.54</w:t>
        <w:tab/>
        <w:t>$ 0.44</w:t>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6120" w:leader="none"/>
          <w:tab w:val="decimal" w:pos="7560" w:leader="none"/>
        </w:tabs>
        <w:rPr>
          <w:rFonts w:ascii="Courier New" w:hAnsi="Courier New" w:cs="Courier New"/>
        </w:rPr>
      </w:pPr>
      <w:r>
        <w:rPr>
          <w:rFonts w:cs="Courier New" w:ascii="Courier New" w:hAnsi="Courier New"/>
        </w:rPr>
        <w:t>Diluted earnings per share:</w:t>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ab/>
        <w:t>Before cumulative effect of accounting</w:t>
      </w:r>
    </w:p>
    <w:p>
      <w:pPr>
        <w:pStyle w:val="Header"/>
        <w:tabs>
          <w:tab w:val="clear" w:pos="4320"/>
          <w:tab w:val="clear" w:pos="8640"/>
          <w:tab w:val="left" w:pos="360" w:leader="none"/>
          <w:tab w:val="decimal" w:pos="6120" w:leader="none"/>
          <w:tab w:val="decimal" w:pos="7560" w:leader="none"/>
        </w:tabs>
        <w:rPr>
          <w:rFonts w:ascii="Courier New" w:hAnsi="Courier New" w:cs="Courier New"/>
        </w:rPr>
      </w:pPr>
      <w:r>
        <w:rPr>
          <w:rFonts w:cs="Courier New" w:ascii="Courier New" w:hAnsi="Courier New"/>
        </w:rPr>
        <w:tab/>
        <w:t xml:space="preserve"> changes</w:t>
        <w:tab/>
        <w:t>$ 0.47</w:t>
        <w:tab/>
        <w:t>$ 0.40</w:t>
      </w:r>
    </w:p>
    <w:p>
      <w:pPr>
        <w:pStyle w:val="Normal"/>
        <w:tabs>
          <w:tab w:val="left" w:pos="360" w:leader="none"/>
          <w:tab w:val="left" w:pos="720" w:leader="none"/>
          <w:tab w:val="decimal" w:pos="6120" w:leader="none"/>
          <w:tab w:val="decimal" w:pos="7920" w:leader="none"/>
        </w:tabs>
        <w:rPr>
          <w:rFonts w:ascii="Courier New" w:hAnsi="Courier New" w:cs="Courier New"/>
        </w:rPr>
      </w:pPr>
      <w:r>
        <w:rPr>
          <w:rFonts w:cs="Courier New" w:ascii="Courier New" w:hAnsi="Courier New"/>
        </w:rPr>
        <w:tab/>
        <w:t>Cumulative effect of accounting changes</w:t>
        <w:tab/>
      </w:r>
      <w:r>
        <w:rPr>
          <w:rFonts w:cs="Courier New" w:ascii="Courier New" w:hAnsi="Courier New"/>
          <w:u w:val="single"/>
        </w:rPr>
        <w:t xml:space="preserve">  0.02</w:t>
        <w:tab/>
        <w:t xml:space="preserve">     -</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b/>
        <w:tab/>
        <w:tab/>
      </w:r>
      <w:r>
        <w:rPr>
          <w:rFonts w:cs="Courier New" w:ascii="Courier New" w:hAnsi="Courier New"/>
          <w:u w:val="double"/>
        </w:rPr>
        <w:t>$ 0.49</w:t>
        <w:tab/>
        <w:t>$ 0.40</w:t>
      </w:r>
    </w:p>
    <w:p>
      <w:pPr>
        <w:pStyle w:val="Header"/>
        <w:tabs>
          <w:tab w:val="clear" w:pos="4320"/>
          <w:tab w:val="clear" w:pos="8640"/>
          <w:tab w:val="left" w:pos="360" w:leader="none"/>
          <w:tab w:val="left" w:pos="720" w:leader="none"/>
          <w:tab w:val="decimal" w:pos="6840" w:leader="none"/>
          <w:tab w:val="decimal" w:pos="828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before interest, minority interests and income taxes (IBIT)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Wholesale Energy Operations and Services</w:t>
        <w:tab/>
        <w:t>$ 755</w:t>
        <w:tab/>
        <w:t>$ 429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Retail Energy Services</w:t>
        <w:tab/>
        <w:t>40</w:t>
        <w:tab/>
        <w:t>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Broadband Services</w:t>
        <w:tab/>
        <w:t>(35)</w:t>
        <w:tab/>
        <w:t>-</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Transportation and Distribution:</w:t>
      </w:r>
    </w:p>
    <w:p>
      <w:pPr>
        <w:pStyle w:val="Head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Transportation Services</w:t>
        <w:tab/>
        <w:t>133</w:t>
        <w:tab/>
        <w:t>128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Portland General</w:t>
        <w:tab/>
        <w:t>60</w:t>
        <w:tab/>
        <w:t>105</w:t>
      </w:r>
    </w:p>
    <w:p>
      <w:pPr>
        <w:pStyle w:val="Normal"/>
        <w:tabs>
          <w:tab w:val="clear" w:pos="720"/>
          <w:tab w:val="left" w:pos="360" w:leader="none"/>
          <w:tab w:val="decimal" w:pos="6480" w:leader="none"/>
          <w:tab w:val="decimal" w:pos="7920" w:leader="none"/>
        </w:tabs>
        <w:rPr/>
      </w:pPr>
      <w:r>
        <w:rPr>
          <w:rFonts w:cs="Courier New" w:ascii="Courier New" w:hAnsi="Courier New"/>
        </w:rPr>
        <w:t>Corporate and Other</w:t>
        <w:tab/>
      </w:r>
      <w:r>
        <w:rPr>
          <w:rFonts w:cs="Courier New" w:ascii="Courier New" w:hAnsi="Courier New"/>
          <w:u w:val="single"/>
        </w:rPr>
        <w:t xml:space="preserve"> (158)</w:t>
        <w:tab/>
        <w:t xml:space="preserve"> (44</w:t>
      </w:r>
      <w:r>
        <w:rPr>
          <w:rFonts w:cs="Courier New" w:ascii="Courier New" w:hAnsi="Courier New"/>
        </w:rPr>
        <w:t>)</w:t>
      </w:r>
    </w:p>
    <w:p>
      <w:pPr>
        <w:pStyle w:val="Head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 xml:space="preserve"> minority interests and taxes</w:t>
        <w:tab/>
      </w:r>
      <w:r>
        <w:rPr>
          <w:rFonts w:cs="Courier New" w:ascii="Courier New" w:hAnsi="Courier New"/>
          <w:u w:val="double"/>
        </w:rPr>
        <w:t>$ 795</w:t>
        <w:tab/>
        <w:t>$624</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b/>
        </w:rPr>
      </w:pPr>
      <w:r>
        <w:rPr>
          <w:rFonts w:cs="Courier New" w:ascii="Courier New" w:hAnsi="Courier New"/>
          <w:b/>
        </w:rPr>
        <w:t>Wholesale Services</w:t>
      </w:r>
    </w:p>
    <w:p>
      <w:pPr>
        <w:pStyle w:val="Normal"/>
        <w:tabs>
          <w:tab w:val="clear" w:pos="720"/>
          <w:tab w:val="left" w:pos="540" w:leader="none"/>
        </w:tabs>
        <w:rPr>
          <w:rFonts w:ascii="Courier New" w:hAnsi="Courier New" w:cs="Courier New"/>
        </w:rPr>
      </w:pPr>
      <w:r>
        <w:rPr>
          <w:rFonts w:cs="Courier New" w:ascii="Courier New" w:hAnsi="Courier New"/>
        </w:rPr>
        <w:tab/>
        <w:t>Enron builds its wholesale businesses through the creation of networks involving selective asset ownership, contractual access to third-party assets and market-making activities.  Each market in which Wholesale Services operates utilizes these components in a slightly different manner and is at a different stage of development.  This network strategy has enabled Wholesale Services to establish a leading position in its markets.  Wholesale Services’ activities are categorized into two business lines:  (a) Commodity Sales and Services and (b) Assets and Investments.  Activities may be integrated into a bundled product offering for Enron’s customers.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Wholesale Services manages its portfolio of contracts and assets in order to maximize value, minimize the associated risks and provide overall liquidity.  In doing so, Wholesale Services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Wholesale Services also sells interests in certain investments and other assets to improve liquidity and overall return, the timing of which is dependent on market conditions and management’s expectations of the investment’s value.</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table reflects IBIT for each business line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Commodity Sales and Services</w:t>
        <w:tab/>
        <w:t>$785</w:t>
        <w:tab/>
        <w:t>$256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Assets and Investments</w:t>
        <w:tab/>
        <w:t>59</w:t>
        <w:tab/>
        <w:t>220</w:t>
      </w:r>
    </w:p>
    <w:p>
      <w:pPr>
        <w:pStyle w:val="Normal"/>
        <w:tabs>
          <w:tab w:val="clear" w:pos="720"/>
          <w:tab w:val="left" w:pos="360" w:leader="none"/>
          <w:tab w:val="decimal" w:pos="6480" w:leader="none"/>
          <w:tab w:val="decimal" w:pos="7920" w:leader="none"/>
        </w:tabs>
        <w:rPr/>
      </w:pPr>
      <w:r>
        <w:rPr>
          <w:rFonts w:cs="Courier New" w:ascii="Courier New" w:hAnsi="Courier New"/>
        </w:rPr>
        <w:t>Unallocated expenses</w:t>
        <w:tab/>
      </w:r>
      <w:r>
        <w:rPr>
          <w:rFonts w:cs="Courier New" w:ascii="Courier New" w:hAnsi="Courier New"/>
          <w:u w:val="single"/>
        </w:rPr>
        <w:t xml:space="preserve"> (89)</w:t>
        <w:tab/>
        <w:t xml:space="preserve"> (47</w:t>
      </w:r>
      <w:r>
        <w:rPr>
          <w:rFonts w:cs="Courier New" w:ascii="Courier New" w:hAnsi="Courier New"/>
        </w:rPr>
        <w:t>)</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minority</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 xml:space="preserve"> interests and taxes</w:t>
        <w:tab/>
      </w:r>
      <w:r>
        <w:rPr>
          <w:rFonts w:cs="Courier New" w:ascii="Courier New" w:hAnsi="Courier New"/>
          <w:u w:val="double"/>
        </w:rPr>
        <w:t>$755</w:t>
        <w:tab/>
        <w:t>$429</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following discussion analyzes the contributions to IBIT for each of the business 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Commodity Sales and Services</w:t>
      </w:r>
      <w:r>
        <w:rPr>
          <w:rFonts w:cs="Courier New" w:ascii="Courier New" w:hAnsi="Courier New"/>
        </w:rPr>
        <w:t>.  Wholesale Services provides reliable commodity delivery and predictable pricing to its customers through forwards and other contracts.  This market-making activity includes the purchase, sale, marketing and delivery of natural gas, electricity, liquids and other commodities, as well as the management of Wholesale Services’ own portfolio of contracts.  Contracts associated with this activity are accounted for using the mark-to-market method of accounting.  Wholesale Services’ market-making activity is facilitated through a network of capabilities including selective asset ownership.  Accordingly, certain assets involved in the delivery of these services are included in this business (such as intrastate natural gas pipelines, gas storage facilities and certain electric generation assets).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b/>
        <w:t>Enron Wholesale markets, transports and provides energy commodities as reflected in the following table (including intercompany amounts):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(a)(b)</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Gas:</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United States</w:t>
        <w:tab/>
        <w:t>20,898</w:t>
        <w:tab/>
        <w:t>16,217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Canada</w:t>
        <w:tab/>
        <w:t>6,358</w:t>
        <w:tab/>
        <w:t>4,389</w:t>
      </w:r>
    </w:p>
    <w:p>
      <w:pPr>
        <w:pStyle w:val="Head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8,699</w:t>
        <w:tab/>
        <w:t xml:space="preserve"> 2,469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ab/>
        <w:t>35,955</w:t>
        <w:tab/>
        <w:t>23,075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Transportation Volumes</w:t>
        <w:tab/>
      </w:r>
      <w:r>
        <w:rPr>
          <w:rFonts w:cs="Courier New" w:ascii="Courier New" w:hAnsi="Courier New"/>
          <w:u w:val="single"/>
        </w:rPr>
        <w:t xml:space="preserve">    506</w:t>
        <w:tab/>
        <w:t xml:space="preserve">   456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Gas Volumes</w:t>
        <w:tab/>
        <w:t>36,461</w:t>
        <w:tab/>
        <w:t>23,531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Crude Oil and Liquids</w:t>
        <w:tab/>
        <w:t>6,836</w:t>
        <w:tab/>
        <w:t>6,134</w:t>
      </w:r>
    </w:p>
    <w:p>
      <w:pPr>
        <w:pStyle w:val="Normal"/>
        <w:tabs>
          <w:tab w:val="left" w:pos="360" w:leader="none"/>
          <w:tab w:val="left" w:pos="720" w:leader="none"/>
          <w:tab w:val="decimal" w:pos="6480" w:leader="none"/>
          <w:tab w:val="decimal" w:pos="7920" w:leader="none"/>
        </w:tabs>
        <w:rPr/>
      </w:pPr>
      <w:r>
        <w:rPr>
          <w:rFonts w:cs="Courier New" w:ascii="Courier New" w:hAnsi="Courier New"/>
        </w:rPr>
        <w:t>Electricity</w:t>
      </w:r>
      <w:r>
        <w:rPr>
          <w:rFonts w:cs="Courier New" w:ascii="Courier New" w:hAnsi="Courier New"/>
          <w:sz w:val="16"/>
        </w:rPr>
        <w:t>(c)</w:t>
      </w:r>
      <w:r>
        <w:rPr>
          <w:rFonts w:cs="Courier New" w:ascii="Courier New" w:hAnsi="Courier New"/>
        </w:rPr>
        <w:tab/>
      </w:r>
      <w:r>
        <w:rPr>
          <w:rFonts w:cs="Courier New" w:ascii="Courier New" w:hAnsi="Courier New"/>
          <w:u w:val="single"/>
        </w:rPr>
        <w:t xml:space="preserve"> 25,732</w:t>
        <w:tab/>
        <w:t>12,170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69,029</w:t>
        <w:tab/>
        <w:t>41,835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Electricity Volumes Marketed (Thousand MWh)</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United States</w:t>
        <w:tab/>
        <w:t>195,246</w:t>
        <w:tab/>
        <w:t>102,903</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Europe and Other</w:t>
        <w:tab/>
      </w:r>
      <w:r>
        <w:rPr>
          <w:rFonts w:cs="Courier New" w:ascii="Courier New" w:hAnsi="Courier New"/>
          <w:u w:val="single"/>
        </w:rPr>
        <w:t xml:space="preserve"> 36,339</w:t>
        <w:tab/>
        <w:t xml:space="preserve">  7,844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231,585</w:t>
        <w:tab/>
        <w:t>110,747</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 (B</w:t>
      </w:r>
      <w:r>
        <w:rPr>
          <w:rFonts w:cs="Courier New" w:ascii="Courier New" w:hAnsi="Courier New"/>
          <w:caps/>
        </w:rPr>
        <w:t>b</w:t>
      </w:r>
      <w:r>
        <w:rPr>
          <w:rFonts w:cs="Courier New" w:ascii="Courier New" w:hAnsi="Courier New"/>
        </w:rPr>
        <w:t>tue/d)</w:t>
        <w:tab/>
      </w:r>
      <w:r>
        <w:rPr>
          <w:rFonts w:cs="Courier New" w:ascii="Courier New" w:hAnsi="Courier New"/>
          <w:u w:val="double"/>
        </w:rPr>
        <w:t>302,694</w:t>
        <w:tab/>
        <w:t>141,865</w:t>
      </w:r>
    </w:p>
    <w:p>
      <w:pPr>
        <w:pStyle w:val="Normal"/>
        <w:tabs>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Includes third-party transactions by Enron Energy Services.</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Represents electricity transaction volumes marketed, converted to BBtue/d utilizing the input method.</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Earnings from commodity sales and services increased $529 million in the first quarter of 2001 as compared to the same period in 2000.  Profits from North American gas and power marketing operations increased significantly.  European gas and power marketing operations as well as earnings from new businesses, such as coal and forest products, also contributed to the earnings growth of Enron's commodity sales and services business.  Commodity Sales and Services results in 2001 were also positively impacted by the sale of certain peaking power plants.  The continued growth of volumes transacted, which increased 65 percent in the first quarter of 2001 as compared to the first quarter of 2000, and price volatility in both the gas and power markets were the key contributors to increased profits in the gas and power intermediation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Assets and Investments.  </w:t>
      </w:r>
      <w:r>
        <w:rPr>
          <w:rFonts w:cs="Courier New" w:ascii="Courier New" w:hAnsi="Courier New"/>
        </w:rPr>
        <w:t>Enron’s Wholesale businesses make investments in various energy and certain related assets as a part of its network strategy.  Wholesale Services either purchases the asset from a third party or develops and constructs the asset.  In most cases, Wholesale Services operates and manages such assets.  Earnings from these investments principally result from operations of the assets or sales of ownership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Additionally, Wholesale Services invests in debt and equity securities of energy and technology-related businesses, which may also utilize Wholesale Services’ products and services.  With these merchant investments, Enron’s influence is much more limited relative to assets Enron develops or constructs.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Earnings from assets and investments decreased $161 million in the first quarter of 2001 as compared to the same period in 2000 as a result of a decrease in the value of Wholesale Services' merchant investments.  Earnings from international asset operations were comparable to 2000 levels.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iCs/>
        </w:rPr>
        <w:tab/>
        <w:t>Unallocated Expenses.</w:t>
      </w:r>
      <w:r>
        <w:rPr>
          <w:rFonts w:cs="Courier New" w:ascii="Courier New" w:hAnsi="Courier New"/>
        </w:rPr>
        <w:t xml:space="preserve">  Net unallocated expenses such as systems expenses and performance-related costs increased in 2000 due to growth of Wholesale Services' existing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Energy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Energy Services sells or manages the delivery of natural gas, electricity, liquids and other commodities to industrial and commercial customers located in North America and Europe.  Energy Services also provides outsourcing solutions to customers for full energy management.  This integrated product includes the management of commodity delivery, energy information and energy assets, and price risk management activities.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Energy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$693</w:t>
        <w:tab/>
        <w:t>$314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t>495</w:t>
        <w:tab/>
        <w:t>234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164</w:t>
        <w:tab/>
        <w:t>86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9</w:t>
        <w:tab/>
        <w:t>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Equity losses</w:t>
        <w:tab/>
        <w:t>15</w:t>
        <w:tab/>
        <w:t>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Income before interest, minority</w:t>
      </w:r>
    </w:p>
    <w:p>
      <w:pPr>
        <w:pStyle w:val="Normal"/>
        <w:tabs>
          <w:tab w:val="clear" w:pos="720"/>
          <w:tab w:val="left" w:pos="36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taxes</w:t>
        <w:tab/>
      </w:r>
      <w:r>
        <w:rPr>
          <w:rFonts w:cs="Courier New" w:ascii="Courier New" w:hAnsi="Courier New"/>
          <w:u w:val="double"/>
        </w:rPr>
        <w:t>$ 40</w:t>
        <w:tab/>
        <w:t>$  6</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 xml:space="preserve">Amounts for the first quarter of 2000 have been restated.  See Note 7 to the Consolidated Financial Statements.  </w:t>
      </w:r>
    </w:p>
    <w:p>
      <w:pPr>
        <w:pStyle w:val="Head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Heading2"/>
        <w:ind w:hanging="0" w:start="0"/>
        <w:rPr/>
      </w:pPr>
      <w:r>
        <w:rPr/>
        <w:t>Operating Results</w:t>
      </w:r>
    </w:p>
    <w:p>
      <w:pPr>
        <w:pStyle w:val="Normal"/>
        <w:tabs>
          <w:tab w:val="clear" w:pos="720"/>
          <w:tab w:val="left" w:pos="540" w:leader="none"/>
        </w:tabs>
        <w:rPr>
          <w:rFonts w:ascii="Courier New" w:hAnsi="Courier New" w:cs="Courier New"/>
        </w:rPr>
      </w:pPr>
      <w:r>
        <w:rPr>
          <w:rFonts w:cs="Courier New" w:ascii="Courier New" w:hAnsi="Courier New"/>
        </w:rPr>
        <w:tab/>
        <w:t>Revenues and gross margin increased $379 million and $118 million, respectively, in the first quarter of 2001 compared to the first quarter of 2000, primarily as a result of long-term energy contracts originated in 2001 and the growth of Energy Services' European operations. Operating expenses increased primarily as a result of higher employee-related costs.  Other, net in the first quarter of 2001 and 2000 consisted primarily of gains associated with the securitization of non-merchant equity instruments.  Equity losses reflect Energy Services' portion of losses of The New Power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2"/>
        <w:ind w:hanging="0" w:start="0"/>
        <w:rPr>
          <w:b/>
          <w:i w:val="false"/>
          <w:i w:val="false"/>
        </w:rPr>
      </w:pPr>
      <w:r>
        <w:rPr>
          <w:b/>
          <w:i w:val="false"/>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In implementing Enron’s network strategy, Broadband Services is constructing the Enron Intelligent Network, a nationwide fiber optic network that consists of both fiber deployed by Enron and acquired capacity on non-Enron networks and is managed by Enron’s Broadband Operating System software.  Enron is extending its market-making and risk management skills from its energy business to develop the bandwidth intermediation business to help customers manage unexpected fluctuation in the price, supply and demand of bandwidth.  Enron’s bandwidth-on-demand platform allows delivery of high-bandwidth media-rich content such as video streaming, high capacity data transport and video conferencing. Broadband Services also makes investments in companies with related technologies and with the potential for capital appreciation.  Earnings from these merchant investments, which are accounted for on a fair value basis and are included in revenues, result from changes in the market value of the securities.  Broadband Services uses risk management disciplines, including hedging transactions, to manage the impact of market price movements on its merchant investments.  Broadband Services also sells interests in certain investments and other assets to improve liquidity and overall return, the timing of which is dependent on market conditions and management’s expectations of the investment’s value.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components of Broadband Services’ businesses include the development and construction of the Enron Intelligent Network, sales of excess fiber and software, bandwidth intermediation and the delivery of content.  Significant components of Broadband Services’ results are as follows (in millions):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6210" w:leader="none"/>
          <w:tab w:val="center" w:pos="7290" w:leader="none"/>
          <w:tab w:val="center" w:pos="8370" w:leader="none"/>
        </w:tabs>
        <w:jc w:val="both"/>
        <w:rPr/>
      </w:pPr>
      <w:r>
        <w:rPr>
          <w:rFonts w:cs="Courier New" w:ascii="Courier New" w:hAnsi="Courier New"/>
        </w:rPr>
        <w:tab/>
        <w:tab/>
      </w:r>
      <w:r>
        <w:rPr>
          <w:rFonts w:cs="Courier New" w:ascii="Courier New" w:hAnsi="Courier New"/>
          <w:u w:val="single"/>
        </w:rPr>
        <w:t>2001</w:t>
      </w:r>
      <w:r>
        <w:rPr>
          <w:rFonts w:cs="Courier New" w:ascii="Courier New" w:hAnsi="Courier New"/>
        </w:rPr>
        <w:tab/>
      </w:r>
      <w:r>
        <w:rPr>
          <w:rFonts w:cs="Courier New" w:ascii="Courier New" w:hAnsi="Courier New"/>
          <w:u w:val="single"/>
        </w:rPr>
        <w:t>2000</w:t>
      </w:r>
    </w:p>
    <w:p>
      <w:pPr>
        <w:pStyle w:val="Normal"/>
        <w:tabs>
          <w:tab w:val="clear" w:pos="720"/>
          <w:tab w:val="left" w:pos="540" w:leader="none"/>
          <w:tab w:val="decimal" w:pos="5760" w:leader="none"/>
        </w:tabs>
        <w:jc w:val="both"/>
        <w:rPr>
          <w:rFonts w:ascii="Courier New" w:hAnsi="Courier New" w:cs="Courier New"/>
          <w:u w:val="single"/>
        </w:rPr>
      </w:pPr>
      <w:r>
        <w:rPr>
          <w:rFonts w:cs="Courier New" w:ascii="Courier New" w:hAnsi="Courier New"/>
          <w:u w:val="single"/>
        </w:rPr>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Gross margin</w:t>
        <w:tab/>
        <w:t>$ 54</w:t>
        <w:tab/>
        <w:t>$ 51</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Operating expenses (including depreciation</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eastAsia="Courier New" w:cs="Courier New" w:ascii="Courier New" w:hAnsi="Courier New"/>
        </w:rPr>
        <w:t xml:space="preserve"> </w:t>
      </w:r>
      <w:r>
        <w:rPr>
          <w:rFonts w:cs="Courier New" w:ascii="Courier New" w:hAnsi="Courier New"/>
        </w:rPr>
        <w:t>and amortization</w:t>
        <w:tab/>
        <w:t>92</w:t>
        <w:tab/>
        <w:t>52</w:t>
      </w:r>
    </w:p>
    <w:p>
      <w:pPr>
        <w:pStyle w:val="Normal"/>
        <w:tabs>
          <w:tab w:val="clear" w:pos="720"/>
          <w:tab w:val="left" w:pos="54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3</w:t>
        <w:tab/>
        <w:t xml:space="preserve">   1</w:t>
      </w:r>
    </w:p>
    <w:p>
      <w:pPr>
        <w:pStyle w:val="Normal"/>
        <w:tabs>
          <w:tab w:val="clear" w:pos="720"/>
          <w:tab w:val="left" w:pos="36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Loss before interest, minority interests</w:t>
      </w:r>
    </w:p>
    <w:p>
      <w:pPr>
        <w:pStyle w:val="Normal"/>
        <w:tabs>
          <w:tab w:val="clear" w:pos="720"/>
          <w:tab w:val="left" w:pos="360" w:leader="none"/>
          <w:tab w:val="decimal" w:pos="6480" w:leader="none"/>
          <w:tab w:val="decimal" w:pos="7560" w:leader="none"/>
          <w:tab w:val="decimal" w:pos="8640" w:leader="none"/>
        </w:tabs>
        <w:jc w:val="both"/>
        <w:rPr>
          <w:rFonts w:ascii="Courier New" w:hAnsi="Courier New" w:cs="Courier New"/>
        </w:rPr>
      </w:pPr>
      <w:r>
        <w:rPr>
          <w:rFonts w:cs="Courier New" w:ascii="Courier New" w:hAnsi="Courier New"/>
        </w:rPr>
        <w:tab/>
        <w:t xml:space="preserve"> and taxes</w:t>
        <w:tab/>
      </w:r>
      <w:r>
        <w:rPr>
          <w:rFonts w:cs="Courier New" w:ascii="Courier New" w:hAnsi="Courier New"/>
          <w:u w:val="double"/>
        </w:rPr>
        <w:t>$(35)</w:t>
        <w:tab/>
        <w:t>$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Gross margin increased $3 million in the first quarter of 2001 compared to the first quarter of 2000.  First quarter 2001 gross margin included the monetization of a portion of Enron's broadband content delivery platform, partially offset by a decline in the market value of certain merchant investments.  Gross margin for the first quarter of 2000 primarily reflects earnings from sales of excess fiber capacity, an increase in the market value of Broadband Services' merchant investments.  Operating expenses (including depreciation and amortization) increased due to the growth of Broadband Services’ business and fiber-optic related equipment being placed into service in late 2000.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Transportation and Distribution</w:t>
      </w:r>
    </w:p>
    <w:p>
      <w:pPr>
        <w:pStyle w:val="Normal"/>
        <w:tabs>
          <w:tab w:val="clear" w:pos="720"/>
          <w:tab w:val="left" w:pos="540" w:leader="none"/>
        </w:tabs>
        <w:rPr/>
      </w:pPr>
      <w:r>
        <w:rPr>
          <w:rFonts w:cs="Courier New" w:ascii="Courier New" w:hAnsi="Courier New"/>
        </w:rPr>
        <w:tab/>
      </w:r>
      <w:r>
        <w:rPr>
          <w:rFonts w:cs="Courier New" w:ascii="Courier New" w:hAnsi="Courier New"/>
          <w:i/>
        </w:rPr>
        <w:t>Transportation Services</w:t>
      </w:r>
      <w:r>
        <w:rPr>
          <w:rFonts w:cs="Courier New" w:ascii="Courier New" w:hAnsi="Courier New"/>
        </w:rPr>
        <w:t>.  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3,750</w:t>
        <w:tab/>
        <w:t>4,147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1,725</w:t>
        <w:tab/>
        <w:t>1,566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1,234</w:t>
        <w:tab/>
        <w:t>1,563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2,490</w:t>
        <w:tab/>
        <w:t>2,464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BodyTextIndent"/>
        <w:tabs>
          <w:tab w:val="clear" w:pos="720"/>
          <w:tab w:val="left" w:pos="360" w:leader="none"/>
          <w:tab w:val="decimal" w:pos="6480" w:leader="none"/>
          <w:tab w:val="decimal" w:pos="7920" w:leader="none"/>
        </w:tabs>
        <w:rPr/>
      </w:pPr>
      <w:r>
        <w:rPr/>
        <w:t>(a)</w:t>
        <w:tab/>
        <w:t>Billion British thermal units per day.  Reflects 100% of each entity’s throughput volumes.  Florida Gas and Northern Border Pipeline are unconsolidated equity affiliates.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$243</w:t>
        <w:tab/>
        <w:t>$201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14</w:t>
        <w:tab/>
        <w:t>7</w:t>
      </w:r>
    </w:p>
    <w:p>
      <w:pPr>
        <w:pStyle w:val="Normal"/>
        <w:tabs>
          <w:tab w:val="clear" w:pos="72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w:t>
        <w:tab/>
        <w:t xml:space="preserve">   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$133</w:t>
        <w:tab/>
        <w:t>$128</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start="0"/>
        <w:rPr/>
      </w:pPr>
      <w:r>
        <w:rPr/>
        <w:t>Operating Results</w:t>
      </w:r>
    </w:p>
    <w:p>
      <w:pPr>
        <w:pStyle w:val="BodyText"/>
        <w:tabs>
          <w:tab w:val="clear" w:pos="720"/>
          <w:tab w:val="left" w:pos="540" w:leader="none"/>
        </w:tabs>
        <w:rPr>
          <w:rFonts w:ascii="Courier New" w:hAnsi="Courier New" w:cs="Courier New"/>
        </w:rPr>
      </w:pPr>
      <w:r>
        <w:rPr>
          <w:rFonts w:cs="Courier New" w:ascii="Courier New" w:hAnsi="Courier New"/>
        </w:rPr>
        <w:tab/>
        <w:t>Revenues, net of cost of sales (net revenues) of Transportation Services increased $42 million in the first quarter of 2001 as compared to the first quarter of 2000 primarily due to increased firm transportation reservation fees received by Northern and increased volumes transported by Transwestern.  Operating Expenses increased  $42 million primarily as a result of higher costs associated with the increase in volumes transported by Transwestern and increased regulatory costs.  Equity in earnings increased $7 million in the first quarter of 2001 as compared to the same period in 2000 primarily due to improved operating results from EOTT.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Portland General. </w:t>
      </w:r>
      <w:r>
        <w:rPr>
          <w:rFonts w:cs="Courier New" w:ascii="Courier New" w:hAnsi="Courier New"/>
        </w:rPr>
        <w:t xml:space="preserve"> Statistics for Portland General for the first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2,171</w:t>
        <w:tab/>
        <w:t>2,361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1,820</w:t>
        <w:tab/>
        <w:t>1,872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1,200</w:t>
        <w:tab/>
        <w:t>1,169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5,191</w:t>
        <w:tab/>
        <w:t>5,402</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2,739</w:t>
        <w:tab/>
        <w:t>4,281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7,930</w:t>
        <w:tab/>
        <w:t>9,683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Head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9.69</w:t>
        <w:tab/>
        <w:t>4.00</w:t>
      </w:r>
    </w:p>
    <w:p>
      <w:pPr>
        <w:pStyle w:val="Head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13%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39</w:t>
        <w:tab/>
        <w:t>31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53</w:t>
        <w:tab/>
        <w:t>62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8</w:t>
        <w:tab/>
        <w:t xml:space="preserve">  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71.9</w:t>
        <w:tab/>
        <w:t>20.8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727</w:t>
        <w:tab/>
        <w:t>724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$767</w:t>
        <w:tab/>
        <w:t>$397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t>582</w:t>
        <w:tab/>
        <w:t>202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67</w:t>
        <w:tab/>
        <w:t>78</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46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(7)</w:t>
        <w:tab/>
        <w:t xml:space="preserve">  34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Income before interest and taxes</w:t>
        <w:tab/>
      </w:r>
      <w:r>
        <w:rPr>
          <w:rFonts w:cs="Courier New" w:ascii="Courier New" w:hAnsi="Courier New"/>
          <w:u w:val="double"/>
        </w:rPr>
        <w:t>$ 60</w:t>
        <w:tab/>
        <w:t>$105</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i/>
          <w:i/>
        </w:rPr>
      </w:pPr>
      <w:r>
        <w:rPr>
          <w:rFonts w:cs="Courier New" w:ascii="Courier New" w:hAnsi="Courier New"/>
          <w:i/>
        </w:rPr>
        <w:t>Operating Results</w:t>
      </w:r>
    </w:p>
    <w:p>
      <w:pPr>
        <w:pStyle w:val="BodyText"/>
        <w:tabs>
          <w:tab w:val="clear" w:pos="720"/>
          <w:tab w:val="left" w:pos="540" w:leader="none"/>
        </w:tabs>
        <w:rPr>
          <w:rFonts w:ascii="Courier New" w:hAnsi="Courier New" w:cs="Courier New"/>
        </w:rPr>
      </w:pPr>
      <w:r>
        <w:rPr>
          <w:rFonts w:cs="Courier New" w:ascii="Courier New" w:hAnsi="Courier New"/>
        </w:rPr>
        <w:tab/>
        <w:t>Revenues, net of purchased power and fuel costs, decreased $10 million in the first quarter of 2001 as compared to the first quarter of 2000.  The decrease is due to higher purchased power and fuel costs resulting from general market conditions, including lower hydroelectric generation and higher gas prices.  Operating expenses decreased primarily as a result of lower costs incurred for transmission line repairs and lower overhead expenses.  Depreciation and amortization increased in 2001 primarily as a result of increased regulatory amortization. Other, net in 2001 included the impact of a decline in the value of investments.  Other, net in 1999 was favorably impacted by certain regulatory events.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s>
        <w:rPr>
          <w:rFonts w:ascii="Courier New" w:hAnsi="Courier New" w:cs="Courier New"/>
        </w:rPr>
      </w:pPr>
      <w:r>
        <w:rPr>
          <w:rFonts w:cs="Courier New" w:ascii="Courier New" w:hAnsi="Courier New"/>
        </w:rPr>
        <w:tab/>
        <w:t xml:space="preserve">On April 26, 2001, Enron announced that the agreement to sell Portland General to Sierra Pacific Resources has been terminated.  See Note 2 to the Consolidated Financial Statements.  </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start="0"/>
        <w:rPr>
          <w:b/>
          <w:i w:val="false"/>
          <w:i w:val="false"/>
        </w:rPr>
      </w:pPr>
      <w:r>
        <w:rPr>
          <w:b/>
          <w:i w:val="false"/>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Corporate and Other realized a loss before interest, minority interests and taxes of $158 million and $44 million in the first quarter of 2001 and 2000, respectively.  First quarter 2001 results include higher corporate-wide expenses and operating losses from non-core businesses, including Azurix.</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$15 million and $13 million for the first three months of 2001 and 2000, respectively.  Net expense increased $40 million in the first quarter of 2001 as compared to the same period of 2000, primarily due to increased long-term debt levels and increased net short-term borrowings.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Minority Interests</w:t>
      </w:r>
    </w:p>
    <w:p>
      <w:pPr>
        <w:pStyle w:val="Normal"/>
        <w:tabs>
          <w:tab w:val="clear" w:pos="720"/>
          <w:tab w:val="left" w:pos="540" w:leader="none"/>
        </w:tabs>
        <w:rPr>
          <w:rFonts w:ascii="Courier New" w:hAnsi="Courier New" w:cs="Courier New"/>
        </w:rPr>
      </w:pPr>
      <w:r>
        <w:rPr>
          <w:rFonts w:cs="Courier New" w:ascii="Courier New" w:hAnsi="Courier New"/>
        </w:rPr>
        <w:tab/>
        <w:t>Minority Interests increased $5 million in the first quarter of 2001 as compared to the same period of 2000 primarily as a result of the formation, in late 2000, of a majority-owned limited partnership.</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Income Tax Expense [to be updated]</w:t>
      </w:r>
    </w:p>
    <w:p>
      <w:pPr>
        <w:pStyle w:val="Normal"/>
        <w:tabs>
          <w:tab w:val="clear" w:pos="720"/>
          <w:tab w:val="left" w:pos="540" w:leader="none"/>
        </w:tabs>
        <w:rPr>
          <w:rFonts w:ascii="Courier New" w:hAnsi="Courier New" w:cs="Courier New"/>
        </w:rPr>
      </w:pPr>
      <w:r>
        <w:rPr>
          <w:rFonts w:cs="Courier New" w:ascii="Courier New" w:hAnsi="Courier New"/>
        </w:rPr>
        <w:tab/>
        <w:t>The projected effective tax rate for 2001 is lower than the statutory rate mainly due to equity earnings and differences between the book and tax basis of certain assets and stock sales.  Income taxes increased during the first quarter of 2001 as compared to the first quarter of 2000 primarily as a result of increased pretax earnings.</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360"/>
          <w:tab w:val="clear" w:pos="720"/>
          <w:tab w:val="clear" w:pos="6300"/>
          <w:tab w:val="clear" w:pos="7740"/>
          <w:tab w:val="clear" w:pos="9180"/>
          <w:tab w:val="left" w:pos="540" w:leader="none"/>
        </w:tabs>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an after-tax non-cash gain of $17 million in “Other Comprehensive Income,” a component of shareholders’ equity and reclassified $532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required for certain qualifying hedges.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b/>
        </w:rPr>
      </w:pPr>
      <w:r>
        <w:rPr>
          <w:rFonts w:cs="Courier New" w:ascii="Courier New" w:hAnsi="Courier New"/>
          <w:b/>
        </w:rPr>
        <w:t>Cash Flows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 w:val="left" w:pos="5760" w:leader="none"/>
          <w:tab w:val="center" w:pos="7020" w:leader="none"/>
          <w:tab w:val="left" w:pos="8190" w:leader="none"/>
        </w:tabs>
        <w:rPr>
          <w:rFonts w:ascii="Courier New" w:hAnsi="Courier New" w:cs="Courier New"/>
        </w:rPr>
      </w:pPr>
      <w:r>
        <w:rPr>
          <w:rFonts w:cs="Courier New" w:ascii="Courier New" w:hAnsi="Courier New"/>
        </w:rPr>
        <w:tab/>
        <w:tab/>
      </w:r>
      <w:r>
        <w:rPr>
          <w:rFonts w:cs="Courier New" w:ascii="Courier New" w:hAnsi="Courier New"/>
          <w:u w:val="single"/>
        </w:rPr>
        <w:tab/>
        <w:t>First Quarter</w:t>
        <w:tab/>
      </w:r>
    </w:p>
    <w:p>
      <w:pPr>
        <w:pStyle w:val="Normal"/>
        <w:tabs>
          <w:tab w:val="clear" w:pos="720"/>
          <w:tab w:val="left" w:pos="540" w:leader="none"/>
          <w:tab w:val="left" w:pos="5760" w:leader="none"/>
          <w:tab w:val="center" w:pos="6300" w:leader="none"/>
          <w:tab w:val="center" w:pos="7740" w:leader="none"/>
          <w:tab w:val="left" w:pos="819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Cash provided by (used in):</w:t>
      </w:r>
    </w:p>
    <w:p>
      <w:pPr>
        <w:pStyle w:val="Header"/>
        <w:tabs>
          <w:tab w:val="clear" w:pos="4320"/>
          <w:tab w:val="clear" w:pos="8640"/>
          <w:tab w:val="left" w:pos="540" w:leader="none"/>
          <w:tab w:val="decimal" w:pos="6660" w:leader="none"/>
          <w:tab w:val="decimal" w:pos="7920" w:leader="none"/>
        </w:tabs>
        <w:rPr>
          <w:rFonts w:ascii="Courier New" w:hAnsi="Courier New" w:cs="Courier New"/>
        </w:rPr>
      </w:pPr>
      <w:r>
        <w:rPr>
          <w:rFonts w:cs="Courier New" w:ascii="Courier New" w:hAnsi="Courier New"/>
        </w:rPr>
        <w:tab/>
        <w:t>Operating activities</w:t>
        <w:tab/>
        <w:t>$ (365)</w:t>
        <w:tab/>
        <w:t>$  (457)</w:t>
      </w:r>
    </w:p>
    <w:p>
      <w:pPr>
        <w:pStyle w:val="Normal"/>
        <w:tabs>
          <w:tab w:val="clear" w:pos="720"/>
          <w:tab w:val="left" w:pos="540" w:leader="none"/>
          <w:tab w:val="decimal" w:pos="6660" w:leader="none"/>
          <w:tab w:val="decimal" w:pos="7920" w:leader="none"/>
        </w:tabs>
        <w:rPr>
          <w:rFonts w:ascii="Courier New" w:hAnsi="Courier New" w:cs="Courier New"/>
        </w:rPr>
      </w:pPr>
      <w:r>
        <w:rPr>
          <w:rFonts w:cs="Courier New" w:ascii="Courier New" w:hAnsi="Courier New"/>
        </w:rPr>
        <w:tab/>
        <w:t>Investing activities</w:t>
        <w:tab/>
        <w:t>(878)</w:t>
        <w:tab/>
        <w:t>(1,493)</w:t>
      </w:r>
    </w:p>
    <w:p>
      <w:pPr>
        <w:pStyle w:val="Normal"/>
        <w:tabs>
          <w:tab w:val="clear" w:pos="720"/>
          <w:tab w:val="left" w:pos="540" w:leader="none"/>
          <w:tab w:val="decimal" w:pos="6660" w:leader="none"/>
          <w:tab w:val="decimal" w:pos="7920" w:leader="none"/>
        </w:tabs>
        <w:rPr>
          <w:rFonts w:ascii="Courier New" w:hAnsi="Courier New" w:cs="Courier New"/>
        </w:rPr>
      </w:pPr>
      <w:r>
        <w:rPr>
          <w:rFonts w:cs="Courier New" w:ascii="Courier New" w:hAnsi="Courier New"/>
        </w:rPr>
        <w:tab/>
        <w:t>Financing activities</w:t>
        <w:tab/>
        <w:t>1,484</w:t>
        <w:tab/>
        <w:t>2,128</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operating activities totaled $365 million during the first three months of 2001 as compared to cash used of $457 million in the same period last year.  The change in cash from operating activities in the first quarter of 2001 reflects first quarter earnings offset by net cash used in merchant activities and price risk management activities and working capital increases.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$878 million during the first quarter of 2001 as compared to $1,493 million during the same period in 2000.  The first quarter 2001 amount reflects cash used for capital expenditures and an investment oin an unconsolidated equity affiliate.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$1,484 million during the first quarter of 2001 as compared to $2,128 million during the same period in 2000.  The first three months of 2001 includes the net issuances of short- and long-term debt of $1,734 million, partially offset by the acquisition of treasury stock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is able to fund its normal working capital requirements mainly through operations or, when necessary, through the utilization of credit facilities and its ability to sell commercial paper and accounts receivable.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Capitalization</w:t>
      </w:r>
    </w:p>
    <w:p>
      <w:pPr>
        <w:pStyle w:val="Normal"/>
        <w:tabs>
          <w:tab w:val="clear" w:pos="720"/>
          <w:tab w:val="left" w:pos="540" w:leader="none"/>
        </w:tabs>
        <w:rPr>
          <w:rFonts w:ascii="Courier New" w:hAnsi="Courier New" w:cs="Courier New"/>
        </w:rPr>
      </w:pPr>
      <w:r>
        <w:rPr>
          <w:rFonts w:cs="Courier New" w:ascii="Courier New" w:hAnsi="Courier New"/>
        </w:rPr>
        <w:tab/>
        <w:t xml:space="preserve">Total capitalization at March 31, 2001 was $27.1 billion.  Debt as a percentage of total capitalization increased to 44.4% at March 31, 2001 as compared to 40.9% at December 31, 2000.  The increase in the ratio reflects increased long-term debt, including the issuance in January 2001 of $1.25 billion of notes payable and increased net short-term borrowings in the first quarter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Wholesale Services offers price risk management services primarily related to commodities associated with the energy sector (natural gas, electricity, crude oil and natural gas liquids).  Broadband Services also offers price risk management services to its customers.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For a complete discussion of the types of financial risk management products used by Enron, the types of market risks associated with Enron’s portfolio of transactions, and the methods used by Enron to manage market risks, see Enron’s Annual Report on Form 10-K for the year ended December 31, 2000.  </w:t>
      </w:r>
    </w:p>
    <w:p>
      <w:pPr>
        <w:sectPr>
          <w:headerReference w:type="default" r:id="rId26"/>
          <w:headerReference w:type="first" r:id="rId27"/>
          <w:footerReference w:type="default" r:id="rId28"/>
          <w:footerReference w:type="first" r:id="rId29"/>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value at risk amounts at March 31, 2001 were consistent with December 31, 2000 levels.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This Report includes forward-looking statements within the meaning of Section 27A of the Securities Act of 1933 and Section 21E of the Securities Exchange Act of 1934.  All statements other than statements of historical facts contained in this document are forward-looking statements.  Forward-looking statements include, but are not limited to, statements relating to expansion opportunities for the Transportation Services, extension of Enron’s business model to new markets and industries, demand in the market for broadband services and high bandwidth applications, transaction volumes in the U.S. power market, commencement of commercial operations of new power plants and pipeline projects, completion of the sale of certain assets and growth in the demand for retail energy outsourcing solutions.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success in marketing natural gas and power to wholesale customers; the ability of Enron to penetrate new retail natural gas and electricity markets (including energy outsourcing markets) in the United States and foreign jurisdictions; development of Enron’s broadband network and customer demand for intermediation and content services;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extent of success in acquiring oil and gas properties and in discovering, developing, producing and marketing reserves; the timing and success of Enron’s efforts to develop international power, pipeline and other infrastructure projects; the effectiveness of Enron’s risk management activities;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w:t>
      </w:r>
    </w:p>
    <w:p>
      <w:pPr>
        <w:sectPr>
          <w:headerReference w:type="default" r:id="rId30"/>
          <w:headerReference w:type="first" r:id="rId31"/>
          <w:footerReference w:type="default" r:id="rId32"/>
          <w:footerReference w:type="first" r:id="rId3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jc w:val="center"/>
        <w:rPr>
          <w:rFonts w:ascii="Courier New" w:hAnsi="Courier New" w:cs="Courier New"/>
          <w:b/>
        </w:rPr>
      </w:pPr>
      <w:r>
        <w:rPr>
          <w:rFonts w:cs="Courier New" w:ascii="Courier New" w:hAnsi="Courier New"/>
          <w:b/>
        </w:rPr>
        <w:t>PART II. OTHER INFORMATION</w:t>
      </w:r>
    </w:p>
    <w:p>
      <w:pPr>
        <w:pStyle w:val="Normal"/>
        <w:jc w:val="center"/>
        <w:rPr>
          <w:rFonts w:ascii="Courier New" w:hAnsi="Courier New" w:cs="Courier New"/>
          <w:b/>
        </w:rPr>
      </w:pPr>
      <w:r>
        <w:rPr>
          <w:rFonts w:cs="Courier New" w:ascii="Courier New" w:hAnsi="Courier New"/>
          <w:b/>
        </w:rPr>
        <w:t>ENRON CORP. AND SUBSIDIARIES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jc w:val="both"/>
        <w:rPr>
          <w:rFonts w:ascii="Courier New" w:hAnsi="Courier New" w:cs="Courier New"/>
        </w:rPr>
      </w:pPr>
      <w:r>
        <w:rPr>
          <w:rFonts w:cs="Courier New" w:ascii="Courier New" w:hAnsi="Courier New"/>
        </w:rPr>
        <w:t>ITEM 1. Legal Proceedings</w:t>
      </w:r>
    </w:p>
    <w:p>
      <w:pPr>
        <w:pStyle w:val="Normal"/>
        <w:jc w:val="both"/>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See Part I. Item 1, Note 3 to Consolidated Financial Statements entitled "Litigation and Other Contingencies," which is incorporated herein by reference.  </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ITEM 6. Exhibits and Reports on Form 8-K</w:t>
      </w:r>
    </w:p>
    <w:p>
      <w:pPr>
        <w:pStyle w:val="Normal"/>
        <w:rPr>
          <w:rFonts w:ascii="Courier New" w:hAnsi="Courier New" w:cs="Courier New"/>
        </w:rPr>
      </w:pPr>
      <w:r>
        <w:rPr>
          <w:rFonts w:cs="Courier New" w:ascii="Courier New" w:hAnsi="Courier New"/>
        </w:rPr>
      </w:r>
    </w:p>
    <w:p>
      <w:pPr>
        <w:pStyle w:val="Normal"/>
        <w:tabs>
          <w:tab w:val="left" w:pos="720" w:leader="none"/>
        </w:tabs>
        <w:rPr>
          <w:rFonts w:ascii="Courier New" w:hAnsi="Courier New" w:cs="Courier New"/>
        </w:rPr>
      </w:pPr>
      <w:r>
        <w:rPr>
          <w:rFonts w:cs="Courier New" w:ascii="Courier New" w:hAnsi="Courier New"/>
        </w:rPr>
        <w:t>(a)</w:t>
        <w:tab/>
        <w:t>Exhibits.</w:t>
      </w:r>
    </w:p>
    <w:p>
      <w:pPr>
        <w:pStyle w:val="Normal"/>
        <w:tabs>
          <w:tab w:val="left" w:pos="720" w:leader="none"/>
        </w:tabs>
        <w:rPr>
          <w:rFonts w:ascii="Courier New" w:hAnsi="Courier New" w:cs="Courier New"/>
        </w:rPr>
      </w:pPr>
      <w:r>
        <w:rPr>
          <w:rFonts w:cs="Courier New" w:ascii="Courier New" w:hAnsi="Courier New"/>
        </w:rPr>
      </w:r>
    </w:p>
    <w:p>
      <w:pPr>
        <w:pStyle w:val="Normal"/>
        <w:tabs>
          <w:tab w:val="left" w:pos="720" w:leader="none"/>
          <w:tab w:val="left" w:pos="2160" w:leader="none"/>
        </w:tabs>
        <w:rPr>
          <w:rFonts w:ascii="Courier New" w:hAnsi="Courier New" w:cs="Courier New"/>
        </w:rPr>
      </w:pPr>
      <w:r>
        <w:rPr>
          <w:rFonts w:cs="Courier New" w:ascii="Courier New" w:hAnsi="Courier New"/>
        </w:rPr>
        <w:tab/>
        <w:t>Exhibit 12</w:t>
        <w:tab/>
        <w:t>Computation of Ratio of Earnings to Fixed Charges</w:t>
      </w:r>
    </w:p>
    <w:p>
      <w:pPr>
        <w:pStyle w:val="Normal"/>
        <w:tabs>
          <w:tab w:val="left" w:pos="720" w:leader="none"/>
          <w:tab w:val="left" w:pos="2160" w:leader="none"/>
        </w:tabs>
        <w:rPr>
          <w:rFonts w:ascii="Courier New" w:hAnsi="Courier New" w:cs="Courier New"/>
        </w:rPr>
      </w:pPr>
      <w:r>
        <w:rPr>
          <w:rFonts w:cs="Courier New" w:ascii="Courier New" w:hAnsi="Courier New"/>
        </w:rPr>
      </w:r>
    </w:p>
    <w:p>
      <w:pPr>
        <w:pStyle w:val="Normal"/>
        <w:tabs>
          <w:tab w:val="left" w:pos="720" w:leader="none"/>
          <w:tab w:val="left" w:pos="2160" w:leader="none"/>
        </w:tabs>
        <w:rPr>
          <w:rFonts w:ascii="Courier New" w:hAnsi="Courier New" w:cs="Courier New"/>
        </w:rPr>
      </w:pPr>
      <w:r>
        <w:rPr>
          <w:rFonts w:cs="Courier New" w:ascii="Courier New" w:hAnsi="Courier New"/>
        </w:rPr>
        <w:t>(b)</w:t>
        <w:tab/>
        <w:t>Reports on Form 8-K</w:t>
      </w:r>
    </w:p>
    <w:p>
      <w:pPr>
        <w:pStyle w:val="Normal"/>
        <w:tabs>
          <w:tab w:val="left" w:pos="720" w:leader="none"/>
          <w:tab w:val="left" w:pos="2160" w:leader="none"/>
        </w:tabs>
        <w:rPr>
          <w:rFonts w:ascii="Courier New" w:hAnsi="Courier New" w:cs="Courier New"/>
        </w:rPr>
      </w:pPr>
      <w:r>
        <w:rPr>
          <w:rFonts w:cs="Courier New" w:ascii="Courier New" w:hAnsi="Courier New"/>
        </w:rPr>
      </w:r>
    </w:p>
    <w:p>
      <w:pPr>
        <w:pStyle w:val="Normal"/>
        <w:tabs>
          <w:tab w:val="left" w:pos="720" w:leader="none"/>
          <w:tab w:val="left" w:pos="2160" w:leader="none"/>
        </w:tabs>
        <w:ind w:hanging="720" w:start="720" w:end="0"/>
        <w:rPr>
          <w:rFonts w:ascii="Courier New" w:hAnsi="Courier New" w:cs="Courier New"/>
        </w:rPr>
      </w:pPr>
      <w:r>
        <w:rPr>
          <w:rFonts w:cs="Courier New" w:ascii="Courier New" w:hAnsi="Courier New"/>
        </w:rPr>
        <w:tab/>
        <w:t>Current Report on Form 8-K filed February 27, 2001, containing Enron Corp. Consolidated Financial Statements for the year Ended December 31, 2000.</w:t>
      </w:r>
    </w:p>
    <w:p>
      <w:pPr>
        <w:pStyle w:val="Normal"/>
        <w:tabs>
          <w:tab w:val="left" w:pos="720" w:leader="none"/>
          <w:tab w:val="left" w:pos="2160" w:leader="none"/>
        </w:tabs>
        <w:rPr>
          <w:rFonts w:ascii="Courier New" w:hAnsi="Courier New" w:cs="Courier New"/>
        </w:rPr>
      </w:pPr>
      <w:r>
        <w:rPr>
          <w:rFonts w:cs="Courier New" w:ascii="Courier New" w:hAnsi="Courier New"/>
        </w:rPr>
      </w:r>
      <w:r>
        <w:br w:type="page"/>
      </w:r>
    </w:p>
    <w:p>
      <w:pPr>
        <w:pStyle w:val="Normal"/>
        <w:jc w:val="center"/>
        <w:rPr>
          <w:rFonts w:ascii="Courier New" w:hAnsi="Courier New" w:cs="Courier New"/>
          <w:b/>
        </w:rPr>
      </w:pPr>
      <w:r>
        <w:rPr>
          <w:rFonts w:cs="Courier New" w:ascii="Courier New" w:hAnsi="Courier New"/>
          <w:b/>
        </w:rPr>
        <w:t>SIGNATURES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640" w:leader="none"/>
        </w:tabs>
        <w:ind w:end="-180"/>
        <w:rPr>
          <w:rFonts w:ascii="Courier New" w:hAnsi="Courier New" w:cs="Courier New"/>
        </w:rPr>
      </w:pPr>
      <w:r>
        <w:rPr>
          <w:rFonts w:cs="Courier New" w:ascii="Courier New" w:hAnsi="Courier New"/>
        </w:rPr>
        <w:t>Date:  May 14, 2001</w:t>
        <w:tab/>
        <w:t>By:</w:t>
        <w:tab/>
      </w:r>
      <w:r>
        <w:rPr>
          <w:rFonts w:cs="Courier New" w:ascii="Courier New" w:hAnsi="Courier New"/>
          <w:caps/>
          <w:u w:val="single"/>
        </w:rPr>
        <w:t>Richard A. Causey</w:t>
      </w:r>
      <w:r>
        <w:rPr>
          <w:rFonts w:cs="Courier New" w:ascii="Courier New" w:hAnsi="Courier New"/>
          <w:u w:val="single"/>
        </w:rPr>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p>
      <w:pPr>
        <w:pStyle w:val="Normal"/>
        <w:tabs>
          <w:tab w:val="clear" w:pos="720"/>
          <w:tab w:val="left" w:pos="270" w:leader="none"/>
          <w:tab w:val="left" w:pos="540" w:leader="none"/>
          <w:tab w:val="left" w:pos="810" w:leader="none"/>
          <w:tab w:val="decimal" w:pos="6091" w:leader="none"/>
          <w:tab w:val="decimal" w:pos="7704" w:leader="none"/>
          <w:tab w:val="decimal" w:pos="9245" w:leader="none"/>
          <w:tab w:val="decimal" w:pos="10800" w:leader="none"/>
        </w:tabs>
        <w:rPr>
          <w:rFonts w:ascii="Courier New" w:hAnsi="Courier New" w:cs="Courier New"/>
        </w:rPr>
      </w:pPr>
      <w:r>
        <w:rPr>
          <w:rFonts w:cs="Courier New" w:ascii="Courier New" w:hAnsi="Courier New"/>
        </w:rPr>
      </w:r>
    </w:p>
    <w:sectPr>
      <w:headerReference w:type="default" r:id="rId34"/>
      <w:headerReference w:type="first" r:id="rId35"/>
      <w:footerReference w:type="default" r:id="rId36"/>
      <w:footerReference w:type="first" r:id="rId37"/>
      <w:type w:val="nextPage"/>
      <w:pgSz w:w="12240" w:h="15840"/>
      <w:pgMar w:left="720" w:right="72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1)">
    <w:altName w:val="Times New Roman"/>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46050"/>
                      </a:xfrm>
                      <a:prstGeom prst="rect"/>
                      <a:solidFill>
                        <a:srgbClr val="FFFFFF">
                          <a:alpha val="0"/>
                        </a:srgbClr>
                      </a:solidFill>
                    </wps:spPr>
                    <wps:txbx>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6.05pt;height:11.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Fonts w:ascii="Courier New" w:hAnsi="Courier New" w:cs="Courier New"/>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w:t>
                    </w:r>
                    <w:r>
                      <w:rPr>
                        <w:rStyle w:val="PageNumber"/>
                        <w:rFonts w:cs="Courier New" w:ascii="Courier New" w:hAnsi="Courier New"/>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670" cy="146050"/>
              <wp:effectExtent l="0" t="0" r="0" b="0"/>
              <wp:wrapSquare wrapText="bothSides"/>
              <wp:docPr id="6" name="Frame6"/>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22</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63.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22</w:t>
                    </w:r>
                    <w:r>
                      <w:rPr>
                        <w:rStyle w:val="PageNumber"/>
                        <w:rFonts w:cs="Courier New" w:ascii="Courier New" w:hAnsi="Courier Ne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46050"/>
              <wp:effectExtent l="0" t="0" r="0" b="0"/>
              <wp:wrapSquare wrapText="bothSides"/>
              <wp:docPr id="7" name="Frame7"/>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Fonts w:ascii="Courier New" w:hAnsi="Courier New" w:cs="Courier New"/>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269.45pt;mso-position-horizontal:center;mso-position-horizontal-relative:margin">
              <v:fill opacity="0f"/>
              <v:textbox inset="0in,0in,0in,0in">
                <w:txbxContent>
                  <w:p>
                    <w:pPr>
                      <w:pStyle w:val="Footer"/>
                      <w:rPr>
                        <w:rStyle w:val="PageNumber"/>
                        <w:rFonts w:ascii="Courier New" w:hAnsi="Courier New" w:cs="Courier New"/>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670" cy="146050"/>
              <wp:effectExtent l="0" t="0" r="0" b="0"/>
              <wp:wrapSquare wrapText="bothSides"/>
              <wp:docPr id="2" name="Frame2"/>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10</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63.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10</w:t>
                    </w:r>
                    <w:r>
                      <w:rPr>
                        <w:rStyle w:val="PageNumber"/>
                        <w:rFonts w:cs="Courier New" w:ascii="Courier New" w:hAnsi="Courier New"/>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670" cy="146050"/>
              <wp:effectExtent l="0" t="0" r="0" b="0"/>
              <wp:wrapSquare wrapText="bothSides"/>
              <wp:docPr id="3" name="Frame3"/>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12</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09.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12</w:t>
                    </w:r>
                    <w:r>
                      <w:rPr>
                        <w:rStyle w:val="PageNumber"/>
                        <w:rFonts w:cs="Courier New" w:ascii="Courier New" w:hAnsi="Courier New"/>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670" cy="146050"/>
              <wp:effectExtent l="0" t="0" r="0" b="0"/>
              <wp:wrapSquare wrapText="bothSides"/>
              <wp:docPr id="4" name="Frame4"/>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17</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09.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17</w:t>
                    </w:r>
                    <w:r>
                      <w:rPr>
                        <w:rStyle w:val="PageNumber"/>
                        <w:rFonts w:cs="Courier New" w:ascii="Courier New" w:hAnsi="Courier Ne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53670" cy="146050"/>
              <wp:effectExtent l="0" t="0" r="0" b="0"/>
              <wp:wrapSquare wrapText="bothSides"/>
              <wp:docPr id="5" name="Frame5"/>
              <a:graphic xmlns:a="http://schemas.openxmlformats.org/drawingml/2006/main">
                <a:graphicData uri="http://schemas.microsoft.com/office/word/2010/wordprocessingShape">
                  <wps:wsp>
                    <wps:cNvSpPr txBox="1"/>
                    <wps:spPr>
                      <a:xfrm>
                        <a:off x="0" y="0"/>
                        <a:ext cx="153670" cy="146050"/>
                      </a:xfrm>
                      <a:prstGeom prst="rect"/>
                      <a:solidFill>
                        <a:srgbClr val="FFFFFF">
                          <a:alpha val="0"/>
                        </a:srgbClr>
                      </a:solidFill>
                    </wps:spPr>
                    <wps:txbx>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18</w:t>
                          </w:r>
                          <w:r>
                            <w:rPr>
                              <w:rStyle w:val="PageNumber"/>
                              <w:rFonts w:cs="Courier New" w:ascii="Courier New" w:hAnsi="Courier New"/>
                            </w:rPr>
                            <w:fldChar w:fldCharType="end"/>
                          </w:r>
                        </w:p>
                      </w:txbxContent>
                    </wps:txbx>
                    <wps:bodyPr anchor="t" lIns="0" tIns="0" rIns="0" bIns="0">
                      <a:noAutofit/>
                    </wps:bodyPr>
                  </wps:wsp>
                </a:graphicData>
              </a:graphic>
            </wp:anchor>
          </w:drawing>
        </mc:Choice>
        <mc:Fallback>
          <w:pict>
            <v:rect fillcolor="#FFFFFF" style="position:absolute;rotation:-0;width:12.1pt;height:11.5pt;mso-wrap-distance-left:0pt;mso-wrap-distance-right:0pt;mso-wrap-distance-top:0pt;mso-wrap-distance-bottom:0pt;margin-top:0.05pt;mso-position-vertical-relative:text;margin-left:209.95pt;mso-position-horizontal:center;mso-position-horizontal-relative:margin">
              <v:fill opacity="0f"/>
              <v:textbox inset="0in,0in,0in,0in">
                <w:txbxContent>
                  <w:p>
                    <w:pPr>
                      <w:pStyle w:val="Footer"/>
                      <w:rPr/>
                    </w:pPr>
                    <w:r>
                      <w:rPr>
                        <w:rStyle w:val="PageNumber"/>
                        <w:rFonts w:cs="Courier New" w:ascii="Courier New" w:hAnsi="Courier New"/>
                      </w:rPr>
                      <w:fldChar w:fldCharType="begin"/>
                    </w:r>
                    <w:r>
                      <w:rPr>
                        <w:rStyle w:val="PageNumber"/>
                        <w:rFonts w:cs="Courier New" w:ascii="Courier New" w:hAnsi="Courier New"/>
                      </w:rPr>
                      <w:instrText xml:space="preserve"> PAGE </w:instrText>
                    </w:r>
                    <w:r>
                      <w:rPr>
                        <w:rStyle w:val="PageNumber"/>
                        <w:rFonts w:cs="Courier New" w:ascii="Courier New" w:hAnsi="Courier New"/>
                      </w:rPr>
                      <w:fldChar w:fldCharType="separate"/>
                    </w:r>
                    <w:r>
                      <w:rPr>
                        <w:rStyle w:val="PageNumber"/>
                        <w:rFonts w:cs="Courier New" w:ascii="Courier New" w:hAnsi="Courier New"/>
                      </w:rPr>
                      <w:t>18</w:t>
                    </w:r>
                    <w:r>
                      <w:rPr>
                        <w:rStyle w:val="PageNumber"/>
                        <w:rFonts w:cs="Courier New" w:ascii="Courier New" w:hAnsi="Courier Ne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2. MANAGEMENT'S DISCUSSION AND ANALYSIS OF</w:t>
    </w:r>
  </w:p>
  <w:p>
    <w:pPr>
      <w:pStyle w:val="Normal"/>
      <w:jc w:val="center"/>
      <w:rPr>
        <w:rFonts w:ascii="Courier New" w:hAnsi="Courier New" w:cs="Courier New"/>
        <w:b/>
      </w:rPr>
    </w:pPr>
    <w:r>
      <w:rPr>
        <w:rFonts w:cs="Courier New" w:ascii="Courier New" w:hAnsi="Courier New"/>
        <w:b/>
      </w:rPr>
      <w:t>FINANCIAL CONDITION AND RESULTS OF OPERATIONS - (Continued)</w:t>
    </w:r>
  </w:p>
  <w:p>
    <w:pPr>
      <w:pStyle w:val="Normal"/>
      <w:jc w:val="center"/>
      <w:rPr>
        <w:rFonts w:ascii="Courier New" w:hAnsi="Courier New" w:cs="Courier New"/>
        <w:b/>
      </w:rPr>
    </w:pPr>
    <w:r>
      <w:rPr>
        <w:rFonts w:cs="Courier New" w:ascii="Courier New" w:hAnsi="Courier New"/>
        <w:b/>
      </w:rPr>
      <w:t>ENRON CORP. AND SUBSIDIARIES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(Concluded)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2. MANAGEMENT'S DISCUSSION AND ANALYSIS OF</w:t>
    </w:r>
  </w:p>
  <w:p>
    <w:pPr>
      <w:pStyle w:val="Normal"/>
      <w:jc w:val="center"/>
      <w:rPr>
        <w:rFonts w:ascii="Courier New" w:hAnsi="Courier New" w:cs="Courier New"/>
        <w:b/>
      </w:rPr>
    </w:pPr>
    <w:r>
      <w:rPr>
        <w:rFonts w:cs="Courier New" w:ascii="Courier New" w:hAnsi="Courier New"/>
        <w:b/>
      </w:rPr>
      <w:t>FINANCIAL CONDITION AND RESULTS OF OPERATIONS - (Concluded)</w:t>
    </w:r>
  </w:p>
  <w:p>
    <w:pPr>
      <w:pStyle w:val="Normal"/>
      <w:jc w:val="center"/>
      <w:rPr>
        <w:rFonts w:ascii="Courier New" w:hAnsi="Courier New" w:cs="Courier New"/>
        <w:b/>
      </w:rPr>
    </w:pPr>
    <w:r>
      <w:rPr>
        <w:rFonts w:cs="Courier New" w:ascii="Courier New" w:hAnsi="Courier New"/>
        <w:b/>
      </w:rPr>
      <w:t>ENRON CORP. AND SUBSIDIARIES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(Concluded)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2. MANAGEMENT'S DISCUSSION AND ANALYSIS OF</w:t>
    </w:r>
  </w:p>
  <w:p>
    <w:pPr>
      <w:pStyle w:val="Normal"/>
      <w:jc w:val="center"/>
      <w:rPr>
        <w:rFonts w:ascii="Courier New" w:hAnsi="Courier New" w:cs="Courier New"/>
        <w:b/>
      </w:rPr>
    </w:pPr>
    <w:r>
      <w:rPr>
        <w:rFonts w:cs="Courier New" w:ascii="Courier New" w:hAnsi="Courier New"/>
        <w:b/>
      </w:rPr>
      <w:t>FINANCIAL CONDITION AND RESULTS OF OPERATIONS - (Concluded)</w:t>
    </w:r>
  </w:p>
  <w:p>
    <w:pPr>
      <w:pStyle w:val="Normal"/>
      <w:jc w:val="center"/>
      <w:rPr>
        <w:rFonts w:ascii="Courier New" w:hAnsi="Courier New" w:cs="Courier New"/>
        <w:b/>
      </w:rPr>
    </w:pPr>
    <w:r>
      <w:rPr>
        <w:rFonts w:cs="Courier New" w:ascii="Courier New" w:hAnsi="Courier New"/>
        <w:b/>
      </w:rPr>
      <w:t>ENRON CORP. AND SUBSIDIARIES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1. FINANCIAL STATEMENTS - (Continued)</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t>NOTES TO CONSOLIDATED FINANCIAL STATEMENTS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1. FINANCIAL STATEMENTS - (Continued)</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t>NOTES TO CONSOLIDATED FINANCIAL STATEMENTS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rPr>
    </w:pPr>
    <w:r>
      <w:rPr>
        <w:rFonts w:cs="Courier New" w:ascii="Courier New" w:hAnsi="Courier New"/>
        <w:b/>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1. FINANCIAL STATEMENTS - (Continued)</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t>NOTES TO CONSOLIDATED FINANCIAL STATEMENTS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ECPgHeadings"/>
      <w:rPr>
        <w:rFonts w:ascii="Courier New" w:hAnsi="Courier New" w:cs="Courier New"/>
      </w:rPr>
    </w:pPr>
    <w:r>
      <w:rPr>
        <w:rFonts w:cs="Courier New" w:ascii="Courier New" w:hAnsi="Courier New"/>
      </w:rPr>
      <w:t>PART I. FINANCIAL INFORMATION - (Continued)</w:t>
    </w:r>
  </w:p>
  <w:p>
    <w:pPr>
      <w:pStyle w:val="Normal"/>
      <w:jc w:val="center"/>
      <w:rPr>
        <w:rFonts w:ascii="Courier New" w:hAnsi="Courier New" w:cs="Courier New"/>
        <w:b/>
      </w:rPr>
    </w:pPr>
    <w:r>
      <w:rPr>
        <w:rFonts w:cs="Courier New" w:ascii="Courier New" w:hAnsi="Courier New"/>
        <w:b/>
      </w:rPr>
    </w:r>
  </w:p>
  <w:p>
    <w:pPr>
      <w:pStyle w:val="Normal"/>
      <w:jc w:val="center"/>
      <w:rPr>
        <w:rFonts w:ascii="Courier New" w:hAnsi="Courier New" w:cs="Courier New"/>
        <w:b/>
      </w:rPr>
    </w:pPr>
    <w:r>
      <w:rPr>
        <w:rFonts w:cs="Courier New" w:ascii="Courier New" w:hAnsi="Courier New"/>
        <w:b/>
      </w:rPr>
      <w:t>ITEM 1. FINANCIAL STATEMENTS - (Concluded)</w:t>
    </w:r>
  </w:p>
  <w:p>
    <w:pPr>
      <w:pStyle w:val="Normal"/>
      <w:jc w:val="center"/>
      <w:rPr>
        <w:rFonts w:ascii="Courier New" w:hAnsi="Courier New" w:cs="Courier New"/>
        <w:b/>
      </w:rPr>
    </w:pPr>
    <w:r>
      <w:rPr>
        <w:rFonts w:cs="Courier New" w:ascii="Courier New" w:hAnsi="Courier New"/>
        <w:b/>
      </w:rPr>
      <w:t>ENRON CORP. AND SUBSIDIARIES</w:t>
    </w:r>
  </w:p>
  <w:p>
    <w:pPr>
      <w:pStyle w:val="Normal"/>
      <w:jc w:val="center"/>
      <w:rPr>
        <w:rFonts w:ascii="Courier New" w:hAnsi="Courier New" w:cs="Courier New"/>
        <w:b/>
      </w:rPr>
    </w:pPr>
    <w:r>
      <w:rPr>
        <w:rFonts w:cs="Courier New" w:ascii="Courier New" w:hAnsi="Courier New"/>
        <w:b/>
      </w:rPr>
      <w:t>NOTES TO CONSOLIDATED FINANCIAL STATEMENTS</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rPr>
    </w:pPr>
    <w:r>
      <w:rPr>
        <w:rFonts w:cs="Courier New" w:ascii="Courier New" w:hAnsi="Courier New"/>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360" w:leader="none"/>
        <w:tab w:val="left" w:pos="720" w:leader="none"/>
        <w:tab w:val="decimal" w:pos="6300" w:leader="none"/>
        <w:tab w:val="decimal" w:pos="7740" w:leader="none"/>
        <w:tab w:val="decimal" w:pos="9180" w:leader="none"/>
      </w:tabs>
      <w:outlineLvl w:val="0"/>
    </w:pPr>
    <w:rPr>
      <w:rFonts w:ascii="Courier New" w:hAnsi="Courier New" w:cs="Courier New"/>
      <w:b/>
    </w:rPr>
  </w:style>
  <w:style w:type="paragraph" w:styleId="Heading2">
    <w:name w:val="heading 2"/>
    <w:basedOn w:val="Normal"/>
    <w:next w:val="Normal"/>
    <w:qFormat/>
    <w:pPr>
      <w:keepNext w:val="true"/>
      <w:numPr>
        <w:ilvl w:val="1"/>
        <w:numId w:val="1"/>
      </w:numPr>
      <w:tabs>
        <w:tab w:val="clear" w:pos="720"/>
        <w:tab w:val="left" w:pos="540" w:leader="none"/>
      </w:tabs>
      <w:outlineLvl w:val="1"/>
    </w:pPr>
    <w:rPr>
      <w:rFonts w:ascii="Courier New" w:hAnsi="Courier New" w:cs="Courier New"/>
      <w:i/>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left" w:pos="360" w:leader="none"/>
        <w:tab w:val="left" w:pos="720" w:leader="none"/>
        <w:tab w:val="decimal" w:pos="8100" w:leader="none"/>
        <w:tab w:val="decimal" w:pos="9900" w:leader="none"/>
      </w:tabs>
      <w:outlineLvl w:val="3"/>
    </w:pPr>
    <w:rPr>
      <w:rFonts w:ascii="Courier New" w:hAnsi="Courier New" w:cs="Courier New"/>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urier New" w:hAnsi="Courier New" w:cs="Courier New"/>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BodyTextIndent">
    <w:name w:val="Body Text Indent"/>
    <w:basedOn w:val="Normal"/>
    <w:pPr>
      <w:tabs>
        <w:tab w:val="left" w:pos="360" w:leader="none"/>
        <w:tab w:val="left" w:pos="720" w:leader="none"/>
      </w:tabs>
      <w:ind w:hanging="360" w:start="36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2">
    <w:name w:val="Body Text Indent 2"/>
    <w:basedOn w:val="Normal"/>
    <w:qFormat/>
    <w:pPr>
      <w:tabs>
        <w:tab w:val="clear" w:pos="720"/>
        <w:tab w:val="left" w:pos="540" w:leader="none"/>
      </w:tabs>
      <w:ind w:hanging="540" w:start="540" w:end="0"/>
    </w:pPr>
    <w:rPr>
      <w:rFonts w:ascii="Courier New" w:hAnsi="Courier New" w:cs="Courier New"/>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8.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2000-05-12T15:00:00Z</dcterms:created>
  <dc:creator>Dortha Gray</dc:creator>
  <dc:description/>
  <dc:language>en-CA</dc:language>
  <cp:lastModifiedBy>dgray</cp:lastModifiedBy>
  <cp:lastPrinted>2001-05-01T14:17:00Z</cp:lastPrinted>
  <dcterms:modified xsi:type="dcterms:W3CDTF">2001-05-01T16:48:00Z</dcterms:modified>
  <cp:revision>36</cp:revision>
  <dc:subject/>
  <dc:title>UNITED STATES SECURITIES AND EXCHANGE</dc:title>
</cp:coreProperties>
</file>