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97" w:type="dxa"/>
        <w:jc w:val="start"/>
        <w:tblInd w:w="-1980" w:type="dxa"/>
        <w:tblLayout w:type="fixed"/>
        <w:tblCellMar>
          <w:top w:w="0" w:type="dxa"/>
          <w:start w:w="0" w:type="dxa"/>
          <w:bottom w:w="0" w:type="dxa"/>
          <w:end w:w="0" w:type="dxa"/>
        </w:tblCellMar>
      </w:tblPr>
      <w:tblGrid>
        <w:gridCol w:w="1980"/>
        <w:gridCol w:w="1495"/>
        <w:gridCol w:w="7222"/>
      </w:tblGrid>
      <w:tr>
        <w:trPr/>
        <w:tc>
          <w:tcPr>
            <w:tcW w:w="1980" w:type="dxa"/>
            <w:tcBorders/>
          </w:tcPr>
          <w:p>
            <w:pPr>
              <w:pStyle w:val="Normal"/>
              <w:spacing w:lineRule="atLeast" w:line="240"/>
              <w:rPr>
                <w:sz w:val="16"/>
              </w:rPr>
            </w:pPr>
            <w:bookmarkStart w:id="0" w:name="VSubsidiary"/>
            <w:bookmarkEnd w:id="0"/>
            <w:r>
              <w:rPr>
                <w:sz w:val="16"/>
              </w:rPr>
              <w:t>JPMorganH&amp;Q</w:t>
            </w:r>
          </w:p>
        </w:tc>
        <w:tc>
          <w:tcPr>
            <w:tcW w:w="1495" w:type="dxa"/>
            <w:tcBorders/>
          </w:tcPr>
          <w:p>
            <w:pPr>
              <w:pStyle w:val="Normal"/>
              <w:spacing w:lineRule="atLeast" w:line="260"/>
              <w:rPr/>
            </w:pPr>
            <w:r>
              <w:rPr/>
              <w:t>To:</w:t>
            </w:r>
          </w:p>
        </w:tc>
        <w:tc>
          <w:tcPr>
            <w:tcW w:w="7222" w:type="dxa"/>
            <w:tcBorders/>
          </w:tcPr>
          <w:p>
            <w:pPr>
              <w:pStyle w:val="Normal"/>
              <w:snapToGrid w:val="false"/>
              <w:spacing w:lineRule="atLeast" w:line="260"/>
              <w:rPr/>
            </w:pPr>
            <w:r>
              <w:rPr/>
            </w:r>
            <w:bookmarkStart w:id="1" w:name="VTo"/>
            <w:bookmarkStart w:id="2" w:name="VTo"/>
            <w:bookmarkEnd w:id="2"/>
          </w:p>
          <w:p>
            <w:pPr>
              <w:pStyle w:val="Normal"/>
              <w:spacing w:lineRule="atLeast" w:line="260"/>
              <w:rPr/>
            </w:pPr>
            <w:r>
              <w:rPr/>
            </w:r>
          </w:p>
        </w:tc>
      </w:tr>
      <w:tr>
        <w:trPr/>
        <w:tc>
          <w:tcPr>
            <w:tcW w:w="1980" w:type="dxa"/>
            <w:tcBorders/>
          </w:tcPr>
          <w:p>
            <w:pPr>
              <w:pStyle w:val="Normal"/>
              <w:snapToGrid w:val="false"/>
              <w:spacing w:lineRule="atLeast" w:line="260"/>
              <w:rPr>
                <w:sz w:val="16"/>
              </w:rPr>
            </w:pPr>
            <w:r>
              <w:rPr>
                <w:sz w:val="16"/>
              </w:rPr>
            </w:r>
          </w:p>
        </w:tc>
        <w:tc>
          <w:tcPr>
            <w:tcW w:w="1495" w:type="dxa"/>
            <w:tcBorders/>
          </w:tcPr>
          <w:p>
            <w:pPr>
              <w:pStyle w:val="Normal"/>
              <w:spacing w:lineRule="atLeast" w:line="260"/>
              <w:rPr/>
            </w:pPr>
            <w:r>
              <w:rPr/>
              <w:t>From:</w:t>
            </w:r>
          </w:p>
        </w:tc>
        <w:tc>
          <w:tcPr>
            <w:tcW w:w="7222" w:type="dxa"/>
            <w:tcBorders/>
          </w:tcPr>
          <w:p>
            <w:pPr>
              <w:pStyle w:val="Normal"/>
              <w:spacing w:lineRule="atLeast" w:line="260"/>
              <w:rPr/>
            </w:pPr>
            <w:bookmarkStart w:id="3" w:name="VFrom"/>
            <w:bookmarkEnd w:id="3"/>
            <w:r>
              <w:rPr/>
              <w:t>Raimundo Archibold</w:t>
            </w:r>
          </w:p>
          <w:p>
            <w:pPr>
              <w:pStyle w:val="Normal"/>
              <w:spacing w:lineRule="atLeast" w:line="260"/>
              <w:rPr/>
            </w:pPr>
            <w:r>
              <w:rPr/>
              <w:t>Senior Equity Analyst</w:t>
            </w:r>
          </w:p>
          <w:p>
            <w:pPr>
              <w:pStyle w:val="Normal"/>
              <w:spacing w:lineRule="atLeast" w:line="260"/>
              <w:rPr/>
            </w:pPr>
            <w:r>
              <w:rPr/>
              <w:t>JPMorganH&amp;Q</w:t>
            </w:r>
          </w:p>
          <w:p>
            <w:pPr>
              <w:pStyle w:val="Normal"/>
              <w:spacing w:lineRule="atLeast" w:line="260"/>
              <w:rPr/>
            </w:pPr>
            <w:r>
              <w:rPr/>
            </w:r>
          </w:p>
        </w:tc>
      </w:tr>
      <w:tr>
        <w:trPr/>
        <w:tc>
          <w:tcPr>
            <w:tcW w:w="1980" w:type="dxa"/>
            <w:tcBorders/>
          </w:tcPr>
          <w:p>
            <w:pPr>
              <w:pStyle w:val="Normal"/>
              <w:snapToGrid w:val="false"/>
              <w:spacing w:lineRule="atLeast" w:line="260" w:before="0" w:after="240"/>
              <w:rPr>
                <w:sz w:val="16"/>
              </w:rPr>
            </w:pPr>
            <w:r>
              <w:rPr>
                <w:sz w:val="16"/>
              </w:rPr>
            </w:r>
          </w:p>
        </w:tc>
        <w:tc>
          <w:tcPr>
            <w:tcW w:w="1495" w:type="dxa"/>
            <w:tcBorders/>
          </w:tcPr>
          <w:p>
            <w:pPr>
              <w:pStyle w:val="Normal"/>
              <w:spacing w:lineRule="atLeast" w:line="260" w:before="0" w:after="240"/>
              <w:rPr/>
            </w:pPr>
            <w:r>
              <w:rPr/>
              <w:t>Date:</w:t>
            </w:r>
          </w:p>
        </w:tc>
        <w:tc>
          <w:tcPr>
            <w:tcW w:w="7222" w:type="dxa"/>
            <w:tcBorders/>
          </w:tcPr>
          <w:p>
            <w:pPr>
              <w:pStyle w:val="Normal"/>
              <w:spacing w:lineRule="atLeast" w:line="260" w:before="0" w:after="240"/>
              <w:rPr/>
            </w:pPr>
            <w:bookmarkStart w:id="4" w:name="VDate"/>
            <w:bookmarkEnd w:id="4"/>
            <w:r>
              <w:rPr/>
              <w:t>March 5, 2001</w:t>
            </w:r>
          </w:p>
        </w:tc>
      </w:tr>
      <w:tr>
        <w:trPr/>
        <w:tc>
          <w:tcPr>
            <w:tcW w:w="1980" w:type="dxa"/>
            <w:tcBorders/>
          </w:tcPr>
          <w:p>
            <w:pPr>
              <w:pStyle w:val="Normal"/>
              <w:snapToGrid w:val="false"/>
              <w:spacing w:lineRule="atLeast" w:line="260"/>
              <w:rPr>
                <w:sz w:val="16"/>
              </w:rPr>
            </w:pPr>
            <w:r>
              <w:rPr>
                <w:sz w:val="16"/>
              </w:rPr>
            </w:r>
          </w:p>
        </w:tc>
        <w:tc>
          <w:tcPr>
            <w:tcW w:w="1495" w:type="dxa"/>
            <w:tcBorders/>
          </w:tcPr>
          <w:p>
            <w:pPr>
              <w:pStyle w:val="Normal"/>
              <w:spacing w:lineRule="atLeast" w:line="260"/>
              <w:rPr/>
            </w:pPr>
            <w:r>
              <w:rPr/>
              <w:t>Subject:</w:t>
            </w:r>
          </w:p>
        </w:tc>
        <w:tc>
          <w:tcPr>
            <w:tcW w:w="7222" w:type="dxa"/>
            <w:tcBorders/>
          </w:tcPr>
          <w:p>
            <w:pPr>
              <w:pStyle w:val="Normal"/>
              <w:spacing w:lineRule="atLeast" w:line="260"/>
              <w:rPr/>
            </w:pPr>
            <w:bookmarkStart w:id="5" w:name="VSubject"/>
            <w:bookmarkEnd w:id="5"/>
            <w:r>
              <w:rPr/>
              <w:t>Transaction Management Infrastructure</w:t>
            </w:r>
          </w:p>
          <w:p>
            <w:pPr>
              <w:pStyle w:val="Normal"/>
              <w:spacing w:lineRule="atLeast" w:line="260"/>
              <w:rPr/>
            </w:pPr>
            <w:r>
              <w:rPr/>
            </w:r>
          </w:p>
        </w:tc>
      </w:tr>
    </w:tbl>
    <w:p>
      <w:pPr>
        <w:pStyle w:val="BodyText"/>
        <w:spacing w:lineRule="atLeast" w:line="260" w:before="0" w:after="240"/>
        <w:ind w:end="420"/>
        <w:rPr/>
      </w:pPr>
      <w:r>
        <w:rPr/>
        <w:t>We are in the process of writing a research report on Transaction Management Infrastructure (TMI), which uncovers the under-appreciated back-end infrastructure of managing electronic transactions. In our view, the prime components for a reliable, secure, scaleable transaction infrastructure are:</w:t>
      </w:r>
    </w:p>
    <w:p>
      <w:pPr>
        <w:pStyle w:val="BodyText"/>
        <w:numPr>
          <w:ilvl w:val="0"/>
          <w:numId w:val="4"/>
        </w:numPr>
        <w:spacing w:lineRule="atLeast" w:line="260" w:before="0" w:after="240"/>
        <w:ind w:hanging="360" w:start="360" w:end="420"/>
        <w:rPr/>
      </w:pPr>
      <w:r>
        <w:rPr/>
        <w:t>Secure messaging platform or network (EDI, VAN, FTP, e-mail, etc.),</w:t>
      </w:r>
    </w:p>
    <w:p>
      <w:pPr>
        <w:pStyle w:val="BodyText"/>
        <w:numPr>
          <w:ilvl w:val="0"/>
          <w:numId w:val="4"/>
        </w:numPr>
        <w:spacing w:lineRule="atLeast" w:line="260" w:before="0" w:after="240"/>
        <w:ind w:hanging="360" w:start="360" w:end="420"/>
        <w:rPr/>
      </w:pPr>
      <w:r>
        <w:rPr/>
        <w:t>Authentication services (PKI, PIN-based passwords),</w:t>
      </w:r>
    </w:p>
    <w:p>
      <w:pPr>
        <w:pStyle w:val="BodyText"/>
        <w:numPr>
          <w:ilvl w:val="0"/>
          <w:numId w:val="4"/>
        </w:numPr>
        <w:spacing w:lineRule="atLeast" w:line="260" w:before="0" w:after="240"/>
        <w:ind w:hanging="360" w:start="360" w:end="420"/>
        <w:rPr/>
      </w:pPr>
      <w:r>
        <w:rPr/>
        <w:t>Authorization or compliance services,</w:t>
      </w:r>
    </w:p>
    <w:p>
      <w:pPr>
        <w:pStyle w:val="BodyText"/>
        <w:numPr>
          <w:ilvl w:val="0"/>
          <w:numId w:val="4"/>
        </w:numPr>
        <w:spacing w:lineRule="atLeast" w:line="260" w:before="0" w:after="240"/>
        <w:ind w:hanging="360" w:start="360" w:end="420"/>
        <w:rPr/>
      </w:pPr>
      <w:r>
        <w:rPr/>
        <w:t>Order management and fulfillment services,</w:t>
      </w:r>
    </w:p>
    <w:p>
      <w:pPr>
        <w:pStyle w:val="BodyText"/>
        <w:numPr>
          <w:ilvl w:val="0"/>
          <w:numId w:val="4"/>
        </w:numPr>
        <w:spacing w:lineRule="atLeast" w:line="260" w:before="0" w:after="240"/>
        <w:ind w:hanging="360" w:start="360" w:end="420"/>
        <w:rPr/>
      </w:pPr>
      <w:r>
        <w:rPr/>
        <w:t xml:space="preserve">Settlement /payment services. </w:t>
      </w:r>
    </w:p>
    <w:p>
      <w:pPr>
        <w:pStyle w:val="BodyText"/>
        <w:spacing w:lineRule="atLeast" w:line="13" w:before="0" w:after="260"/>
        <w:ind w:end="418"/>
        <w:rPr/>
      </w:pPr>
      <w:bookmarkStart w:id="6" w:name="VBegin"/>
      <w:bookmarkEnd w:id="6"/>
      <w:r>
        <w:rPr/>
        <w:t>To strengthen our report, we would like to better understand how leading firms in the e-commerce arena are currently addressing the management of their electronic transactions infrastructure versus how they envision managing these resources in the future. To achieve this, we would greatly appreciate if you could answer the questions on the following page in preparation of our conference call.</w:t>
      </w:r>
      <w:r>
        <w:br w:type="page"/>
      </w:r>
    </w:p>
    <w:p>
      <w:pPr>
        <w:pStyle w:val="BodyText"/>
        <w:spacing w:lineRule="atLeast" w:line="13" w:before="0" w:after="260"/>
        <w:ind w:end="418"/>
        <w:rPr/>
      </w:pPr>
      <w:r>
        <w:rPr>
          <w:b/>
        </w:rPr>
        <w:t>General Discussion Questions</w:t>
      </w:r>
      <w:r>
        <w:rPr/>
        <w:t>.</w:t>
      </w:r>
    </w:p>
    <w:p>
      <w:pPr>
        <w:pStyle w:val="BodyText"/>
        <w:numPr>
          <w:ilvl w:val="0"/>
          <w:numId w:val="2"/>
        </w:numPr>
        <w:spacing w:lineRule="atLeast" w:line="13" w:before="0" w:after="260"/>
        <w:ind w:hanging="360" w:start="360" w:end="418"/>
        <w:rPr/>
      </w:pPr>
      <w:r>
        <w:rPr/>
        <w:t xml:space="preserve">In seeking vendors for TMI services, does your organization have a bias for a software versus an outsourced services solution? </w:t>
      </w:r>
    </w:p>
    <w:p>
      <w:pPr>
        <w:pStyle w:val="BodyText"/>
        <w:numPr>
          <w:ilvl w:val="0"/>
          <w:numId w:val="2"/>
        </w:numPr>
        <w:spacing w:lineRule="atLeast" w:line="13" w:before="0" w:after="260"/>
        <w:ind w:hanging="360" w:start="360" w:end="418"/>
        <w:rPr/>
      </w:pPr>
      <w:r>
        <w:rPr/>
        <w:t>Has your organization developed/ plan to develop any of these services internally? If yes, which area and why?</w:t>
      </w:r>
    </w:p>
    <w:p>
      <w:pPr>
        <w:pStyle w:val="BodyText"/>
        <w:numPr>
          <w:ilvl w:val="0"/>
          <w:numId w:val="2"/>
        </w:numPr>
        <w:spacing w:lineRule="atLeast" w:line="13" w:before="0" w:after="260"/>
        <w:ind w:hanging="360" w:start="360" w:end="418"/>
        <w:rPr/>
      </w:pPr>
      <w:r>
        <w:rPr/>
        <w:t>Who is in charge of making the decisions on implementing these services as we define them above?</w:t>
      </w:r>
    </w:p>
    <w:p>
      <w:pPr>
        <w:pStyle w:val="BodyText"/>
        <w:numPr>
          <w:ilvl w:val="0"/>
          <w:numId w:val="2"/>
        </w:numPr>
        <w:spacing w:lineRule="atLeast" w:line="13" w:before="0" w:after="260"/>
        <w:ind w:hanging="360" w:start="360" w:end="418"/>
        <w:rPr/>
      </w:pPr>
      <w:r>
        <w:rPr/>
        <w:t>How would you prioritize spending on TMI services relative to your overall IT budget (relative to procurement, website development, integration, network, etc.)</w:t>
      </w:r>
    </w:p>
    <w:p>
      <w:pPr>
        <w:pStyle w:val="BodyText"/>
        <w:numPr>
          <w:ilvl w:val="0"/>
          <w:numId w:val="2"/>
        </w:numPr>
        <w:spacing w:lineRule="atLeast" w:line="13" w:before="0" w:after="260"/>
        <w:ind w:hanging="360" w:start="360" w:end="418"/>
        <w:rPr/>
      </w:pPr>
      <w:r>
        <w:rPr/>
        <w:t>What decision criteria are used to determine priority?</w:t>
      </w:r>
    </w:p>
    <w:p>
      <w:pPr>
        <w:pStyle w:val="BodyText"/>
        <w:numPr>
          <w:ilvl w:val="0"/>
          <w:numId w:val="2"/>
        </w:numPr>
        <w:spacing w:lineRule="atLeast" w:line="13" w:before="0" w:after="260"/>
        <w:ind w:hanging="360" w:start="360" w:end="418"/>
        <w:rPr/>
      </w:pPr>
      <w:r>
        <w:rPr/>
        <w:t>Prioritization of each component within TMI?</w:t>
      </w:r>
    </w:p>
    <w:p>
      <w:pPr>
        <w:pStyle w:val="BodyText"/>
        <w:numPr>
          <w:ilvl w:val="0"/>
          <w:numId w:val="2"/>
        </w:numPr>
        <w:spacing w:lineRule="atLeast" w:line="13" w:before="0" w:after="260"/>
        <w:ind w:hanging="360" w:start="360" w:end="418"/>
        <w:rPr/>
      </w:pPr>
      <w:r>
        <w:rPr/>
        <w:t>How many vendors do you believe you deal with in respect to these services?</w:t>
      </w:r>
    </w:p>
    <w:p>
      <w:pPr>
        <w:pStyle w:val="BodyText"/>
        <w:spacing w:lineRule="atLeast" w:line="13" w:before="0" w:after="260"/>
        <w:ind w:end="418"/>
        <w:rPr>
          <w:b/>
        </w:rPr>
      </w:pPr>
      <w:r>
        <w:rPr>
          <w:b/>
        </w:rPr>
        <w:t>Transaction Delivery Questions</w:t>
      </w:r>
    </w:p>
    <w:p>
      <w:pPr>
        <w:pStyle w:val="BodyText"/>
        <w:numPr>
          <w:ilvl w:val="0"/>
          <w:numId w:val="1"/>
        </w:numPr>
        <w:spacing w:lineRule="atLeast" w:line="13" w:before="0" w:after="260"/>
        <w:ind w:hanging="360" w:start="360" w:end="418"/>
        <w:rPr/>
      </w:pPr>
      <w:r>
        <w:rPr/>
        <w:t>What is the dominant secure messaging delivery network (SMDN) used today?</w:t>
      </w:r>
    </w:p>
    <w:p>
      <w:pPr>
        <w:pStyle w:val="BodyText"/>
        <w:numPr>
          <w:ilvl w:val="0"/>
          <w:numId w:val="1"/>
        </w:numPr>
        <w:spacing w:lineRule="atLeast" w:line="13" w:before="0" w:after="260"/>
        <w:ind w:hanging="360" w:start="360" w:end="418"/>
        <w:rPr/>
      </w:pPr>
      <w:r>
        <w:rPr/>
        <w:t>What will be the dominant secure messaging delivery (SMD) in one year, three years, and five years?</w:t>
      </w:r>
    </w:p>
    <w:p>
      <w:pPr>
        <w:pStyle w:val="BodyText"/>
        <w:spacing w:lineRule="atLeast" w:line="13" w:before="0" w:after="260"/>
        <w:ind w:end="418"/>
        <w:rPr>
          <w:b/>
        </w:rPr>
      </w:pPr>
      <w:r>
        <w:rPr>
          <w:b/>
        </w:rPr>
        <w:t>Authentication and Authorization</w:t>
      </w:r>
    </w:p>
    <w:p>
      <w:pPr>
        <w:pStyle w:val="BodyText"/>
        <w:numPr>
          <w:ilvl w:val="0"/>
          <w:numId w:val="7"/>
        </w:numPr>
        <w:spacing w:lineRule="atLeast" w:line="13" w:before="0" w:after="260"/>
        <w:ind w:hanging="360" w:start="360" w:end="418"/>
        <w:rPr/>
      </w:pPr>
      <w:r>
        <w:rPr/>
        <w:t>How do you currently authenticate employee users and manage their online entitlements?</w:t>
      </w:r>
    </w:p>
    <w:p>
      <w:pPr>
        <w:pStyle w:val="BodyText"/>
        <w:numPr>
          <w:ilvl w:val="0"/>
          <w:numId w:val="7"/>
        </w:numPr>
        <w:spacing w:lineRule="atLeast" w:line="13" w:before="0" w:after="260"/>
        <w:ind w:hanging="360" w:start="360" w:end="418"/>
        <w:rPr/>
      </w:pPr>
      <w:r>
        <w:rPr/>
        <w:t>How do you currently authenticate external users and manage their online entitlements?</w:t>
      </w:r>
    </w:p>
    <w:p>
      <w:pPr>
        <w:pStyle w:val="BodyText"/>
        <w:numPr>
          <w:ilvl w:val="0"/>
          <w:numId w:val="7"/>
        </w:numPr>
        <w:spacing w:lineRule="atLeast" w:line="13" w:before="0" w:after="260"/>
        <w:ind w:hanging="360" w:start="360" w:end="418"/>
        <w:rPr/>
      </w:pPr>
      <w:r>
        <w:rPr/>
        <w:t>Do you use PKI and if so, what has been your experience with the solution?</w:t>
      </w:r>
    </w:p>
    <w:p>
      <w:pPr>
        <w:pStyle w:val="BodyText"/>
        <w:numPr>
          <w:ilvl w:val="0"/>
          <w:numId w:val="7"/>
        </w:numPr>
        <w:spacing w:lineRule="atLeast" w:line="13" w:before="0" w:after="260"/>
        <w:ind w:hanging="360" w:start="360" w:end="418"/>
        <w:rPr>
          <w:b/>
        </w:rPr>
      </w:pPr>
      <w:r>
        <w:rPr/>
        <w:t>Do you foresee the broad acceptance of smart cards in the U.S. in the future?</w:t>
      </w:r>
    </w:p>
    <w:p>
      <w:pPr>
        <w:pStyle w:val="BodyText"/>
        <w:spacing w:lineRule="atLeast" w:line="13" w:before="0" w:after="260"/>
        <w:ind w:end="418"/>
        <w:rPr>
          <w:b/>
        </w:rPr>
      </w:pPr>
      <w:r>
        <w:rPr>
          <w:b/>
        </w:rPr>
        <w:t>Trade Compliance</w:t>
      </w:r>
    </w:p>
    <w:p>
      <w:pPr>
        <w:pStyle w:val="BodyText"/>
        <w:numPr>
          <w:ilvl w:val="0"/>
          <w:numId w:val="6"/>
        </w:numPr>
        <w:spacing w:lineRule="atLeast" w:line="13" w:before="0" w:after="260"/>
        <w:ind w:hanging="360" w:start="360" w:end="418"/>
        <w:rPr/>
      </w:pPr>
      <w:r>
        <w:rPr/>
        <w:t>How much of your internal resources (human and capital) do you currently commit to managing trade compliance? Has that level of commitment changed over time?</w:t>
      </w:r>
    </w:p>
    <w:p>
      <w:pPr>
        <w:pStyle w:val="BodyText"/>
        <w:numPr>
          <w:ilvl w:val="0"/>
          <w:numId w:val="6"/>
        </w:numPr>
        <w:spacing w:lineRule="atLeast" w:line="13" w:before="0" w:after="260"/>
        <w:ind w:hanging="360" w:start="360" w:end="418"/>
        <w:rPr/>
      </w:pPr>
      <w:r>
        <w:rPr/>
        <w:t>Would you consider outsourcing the trade compliance function, and if not why?</w:t>
      </w:r>
    </w:p>
    <w:p>
      <w:pPr>
        <w:pStyle w:val="BodyText"/>
        <w:numPr>
          <w:ilvl w:val="0"/>
          <w:numId w:val="6"/>
        </w:numPr>
        <w:spacing w:lineRule="atLeast" w:line="13" w:before="0" w:after="260"/>
        <w:ind w:hanging="360" w:start="360" w:end="418"/>
        <w:rPr/>
      </w:pPr>
      <w:r>
        <w:rPr/>
        <w:t>Would you prefer to access trade compliance services from your logistics providers and/or international carriers?</w:t>
      </w:r>
    </w:p>
    <w:p>
      <w:pPr>
        <w:pStyle w:val="BodyText"/>
        <w:spacing w:lineRule="atLeast" w:line="13" w:before="0" w:after="260"/>
        <w:ind w:end="418"/>
        <w:rPr>
          <w:b/>
        </w:rPr>
      </w:pPr>
      <w:r>
        <w:rPr>
          <w:b/>
        </w:rPr>
        <w:t>Order Management and Fulfillment Questions</w:t>
      </w:r>
    </w:p>
    <w:p>
      <w:pPr>
        <w:pStyle w:val="BodyText"/>
        <w:numPr>
          <w:ilvl w:val="0"/>
          <w:numId w:val="5"/>
        </w:numPr>
        <w:spacing w:lineRule="atLeast" w:line="13" w:before="0" w:after="260"/>
        <w:ind w:hanging="360" w:start="360" w:end="418"/>
        <w:rPr/>
      </w:pPr>
      <w:r>
        <w:rPr/>
        <w:t>How can technology improve your existing logistics processes?</w:t>
      </w:r>
    </w:p>
    <w:p>
      <w:pPr>
        <w:pStyle w:val="BodyText"/>
        <w:numPr>
          <w:ilvl w:val="0"/>
          <w:numId w:val="5"/>
        </w:numPr>
        <w:spacing w:lineRule="atLeast" w:line="13" w:before="0" w:after="260"/>
        <w:ind w:hanging="360" w:start="360" w:end="418"/>
        <w:rPr/>
      </w:pPr>
      <w:r>
        <w:rPr/>
        <w:t>What do you consider to be the greatest challenge in fulfilling B2B and B2C online transactions?</w:t>
      </w:r>
    </w:p>
    <w:p>
      <w:pPr>
        <w:pStyle w:val="BodyText"/>
        <w:numPr>
          <w:ilvl w:val="0"/>
          <w:numId w:val="5"/>
        </w:numPr>
        <w:spacing w:lineRule="atLeast" w:line="13" w:before="0" w:after="260"/>
        <w:ind w:hanging="360" w:start="360" w:end="418"/>
        <w:rPr/>
      </w:pPr>
      <w:r>
        <w:rPr/>
        <w:t>How do you currently communicate with your logistics providers?</w:t>
      </w:r>
    </w:p>
    <w:p>
      <w:pPr>
        <w:pStyle w:val="BodyText"/>
        <w:numPr>
          <w:ilvl w:val="0"/>
          <w:numId w:val="5"/>
        </w:numPr>
        <w:spacing w:lineRule="atLeast" w:line="13" w:before="0" w:after="260"/>
        <w:ind w:hanging="360" w:start="360" w:end="418"/>
        <w:rPr/>
      </w:pPr>
      <w:r>
        <w:rPr/>
        <w:t>How many different fulfillment partners do you currently use?</w:t>
      </w:r>
    </w:p>
    <w:p>
      <w:pPr>
        <w:pStyle w:val="BodyText"/>
        <w:numPr>
          <w:ilvl w:val="0"/>
          <w:numId w:val="5"/>
        </w:numPr>
        <w:spacing w:lineRule="atLeast" w:line="13" w:before="0" w:after="260"/>
        <w:ind w:hanging="360" w:start="360" w:end="418"/>
        <w:rPr/>
      </w:pPr>
      <w:r>
        <w:rPr/>
        <w:t>Which logistics providers do you feel are the leaders in eLogistics?</w:t>
      </w:r>
    </w:p>
    <w:p>
      <w:pPr>
        <w:pStyle w:val="BodyText"/>
        <w:numPr>
          <w:ilvl w:val="0"/>
          <w:numId w:val="5"/>
        </w:numPr>
        <w:spacing w:lineRule="atLeast" w:line="13" w:before="0" w:after="260"/>
        <w:ind w:hanging="360" w:start="360" w:end="418"/>
        <w:rPr/>
      </w:pPr>
      <w:r>
        <w:rPr/>
        <w:t>What logistics processes do you currently outsource versus insource (e.g. order management, order fulfillment, reverse logistics, supply chain integration)?</w:t>
      </w:r>
    </w:p>
    <w:p>
      <w:pPr>
        <w:pStyle w:val="BodyText"/>
        <w:numPr>
          <w:ilvl w:val="0"/>
          <w:numId w:val="5"/>
        </w:numPr>
        <w:spacing w:lineRule="atLeast" w:line="13" w:before="0" w:after="260"/>
        <w:ind w:hanging="360" w:start="360" w:end="418"/>
        <w:rPr/>
      </w:pPr>
      <w:r>
        <w:rPr/>
        <w:t>What are the critical factor(s) in deciding to outsource your fulfillment infrastructure?</w:t>
      </w:r>
    </w:p>
    <w:p>
      <w:pPr>
        <w:pStyle w:val="BodyText"/>
        <w:spacing w:lineRule="atLeast" w:line="13" w:before="0" w:after="260"/>
        <w:ind w:end="418"/>
        <w:rPr>
          <w:b/>
        </w:rPr>
      </w:pPr>
      <w:r>
        <w:rPr>
          <w:b/>
        </w:rPr>
        <w:t>Settlement (Payment)</w:t>
      </w:r>
    </w:p>
    <w:p>
      <w:pPr>
        <w:pStyle w:val="BodyText"/>
        <w:numPr>
          <w:ilvl w:val="0"/>
          <w:numId w:val="3"/>
        </w:numPr>
        <w:spacing w:lineRule="atLeast" w:line="13" w:before="0" w:after="260"/>
        <w:ind w:hanging="360" w:start="360" w:end="418"/>
        <w:rPr/>
      </w:pPr>
      <w:r>
        <w:rPr/>
        <w:t>What is your preferred payment method for settling B2C transactions? B2B? B2G?</w:t>
      </w:r>
    </w:p>
    <w:p>
      <w:pPr>
        <w:pStyle w:val="BodyText"/>
        <w:numPr>
          <w:ilvl w:val="0"/>
          <w:numId w:val="3"/>
        </w:numPr>
        <w:spacing w:lineRule="atLeast" w:line="13" w:before="0" w:after="260"/>
        <w:ind w:hanging="360" w:start="360" w:end="418"/>
        <w:rPr/>
      </w:pPr>
      <w:r>
        <w:rPr/>
        <w:t>Would you prefer to have payment services combined with any of the services mentioned above? If so, why?</w:t>
      </w:r>
    </w:p>
    <w:p>
      <w:pPr>
        <w:pStyle w:val="BodyText"/>
        <w:numPr>
          <w:ilvl w:val="0"/>
          <w:numId w:val="3"/>
        </w:numPr>
        <w:spacing w:lineRule="atLeast" w:line="13" w:before="0" w:after="260"/>
        <w:ind w:hanging="360" w:start="360" w:end="418"/>
        <w:rPr/>
      </w:pPr>
      <w:r>
        <w:rPr/>
        <w:t xml:space="preserve">What percentage of your bills/invoices do you currently receive/issue electronically? </w:t>
      </w:r>
    </w:p>
    <w:p>
      <w:pPr>
        <w:pStyle w:val="BodyText"/>
        <w:spacing w:lineRule="atLeast" w:line="13" w:before="0" w:after="260"/>
        <w:ind w:end="418"/>
        <w:rPr/>
      </w:pPr>
      <w:r>
        <w:rPr/>
      </w:r>
    </w:p>
    <w:p>
      <w:pPr>
        <w:pStyle w:val="BodyText"/>
        <w:spacing w:lineRule="atLeast" w:line="13" w:before="0" w:after="260"/>
        <w:ind w:end="418"/>
        <w:rPr/>
      </w:pPr>
      <w:r>
        <w:rPr/>
      </w:r>
    </w:p>
    <w:sectPr>
      <w:headerReference w:type="default" r:id="rId2"/>
      <w:headerReference w:type="first" r:id="rId3"/>
      <w:type w:val="nextPage"/>
      <w:pgSz w:w="12240" w:h="15840"/>
      <w:pgMar w:left="2707" w:right="720" w:gutter="0" w:header="1915" w:top="252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tabs>
        <w:tab w:val="clear" w:pos="4320"/>
        <w:tab w:val="clear" w:pos="8640"/>
        <w:tab w:val="right" w:pos="9180" w:leader="underscore"/>
      </w:tabs>
      <w:ind w:start="-2160" w:end="-3"/>
      <w:rPr/>
    </w:pPr>
    <w:r>
      <w:rPr/>
    </w:r>
  </w:p>
  <w:p>
    <w:pPr>
      <w:pStyle w:val="Header"/>
      <w:rPr/>
    </w:pPr>
    <w:r>
      <w:rPr/>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tabs>
        <w:tab w:val="clear" w:pos="4320"/>
        <w:tab w:val="clear" w:pos="8640"/>
        <w:tab w:val="right" w:pos="9000" w:leader="underscore"/>
      </w:tabs>
      <w:ind w:start="-1980" w:end="-3"/>
      <w:jc w:val="end"/>
      <w:rPr/>
    </w:pPr>
    <w:r>
      <w:rPr/>
    </w:r>
    <w:r>
      <mc:AlternateContent>
        <mc:Choice Requires="wps">
          <w:drawing>
            <wp:anchor behindDoc="0" distT="0" distB="0" distL="0" distR="0" simplePos="0" locked="0" layoutInCell="0" allowOverlap="1" relativeHeight="2">
              <wp:simplePos x="0" y="0"/>
              <wp:positionH relativeFrom="page">
                <wp:posOffset>457835</wp:posOffset>
              </wp:positionH>
              <wp:positionV relativeFrom="page">
                <wp:posOffset>457835</wp:posOffset>
              </wp:positionV>
              <wp:extent cx="792480"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792480" cy="116840"/>
                      </a:xfrm>
                      <a:prstGeom prst="rect"/>
                      <a:solidFill>
                        <a:srgbClr val="FFFFFF">
                          <a:alpha val="0"/>
                        </a:srgbClr>
                      </a:solidFill>
                    </wps:spPr>
                    <wps:txbx>
                      <w:txbxContent>
                        <w:p>
                          <w:pPr>
                            <w:pStyle w:val="Normal"/>
                            <w:tabs>
                              <w:tab w:val="clear" w:pos="720"/>
                              <w:tab w:val="right" w:pos="9900" w:leader="underscore"/>
                            </w:tabs>
                            <w:ind w:end="-1267"/>
                            <w:rPr>
                              <w:sz w:val="16"/>
                            </w:rPr>
                          </w:pPr>
                          <w:r>
                            <w:rPr>
                              <w:sz w:val="16"/>
                            </w:rPr>
                            <w:t>Memorandum</w:t>
                          </w:r>
                        </w:p>
                      </w:txbxContent>
                    </wps:txbx>
                    <wps:bodyPr anchor="t" lIns="0" tIns="0" rIns="0" bIns="0">
                      <a:noAutofit/>
                    </wps:bodyPr>
                  </wps:wsp>
                </a:graphicData>
              </a:graphic>
            </wp:anchor>
          </w:drawing>
        </mc:Choice>
        <mc:Fallback>
          <w:pict>
            <v:rect fillcolor="#FFFFFF" style="position:absolute;rotation:-0;width:62.4pt;height:9.2pt;mso-wrap-distance-left:0pt;mso-wrap-distance-right:0pt;mso-wrap-distance-top:0pt;mso-wrap-distance-bottom:0pt;margin-top:36.05pt;mso-position-vertical-relative:page;margin-left:36.05pt;mso-position-horizontal-relative:page">
              <v:fill opacity="0f"/>
              <v:textbox inset="0in,0in,0in,0in">
                <w:txbxContent>
                  <w:p>
                    <w:pPr>
                      <w:pStyle w:val="Normal"/>
                      <w:tabs>
                        <w:tab w:val="clear" w:pos="720"/>
                        <w:tab w:val="right" w:pos="9900" w:leader="underscore"/>
                      </w:tabs>
                      <w:ind w:end="-1267"/>
                      <w:rPr>
                        <w:sz w:val="16"/>
                      </w:rPr>
                    </w:pPr>
                    <w:r>
                      <w:rPr>
                        <w:sz w:val="16"/>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2"/>
      <w:szCs w:val="20"/>
      <w:lang w:val="en-US" w:eastAsia="zh-CN" w:bidi="hi-IN"/>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Logomemo.dot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2001-03-07T00:07:00Z</dcterms:created>
  <dc:creator>Tien-tsin Huang</dc:creator>
  <dc:description/>
  <dc:language>en-CA</dc:language>
  <cp:lastModifiedBy>J.P. Morgan</cp:lastModifiedBy>
  <cp:lastPrinted>2001-03-06T21:58:00Z</cp:lastPrinted>
  <dcterms:modified xsi:type="dcterms:W3CDTF">2001-03-07T00:29:00Z</dcterms:modified>
  <cp:revision>3</cp:revision>
  <dc:subject/>
  <dc:title>JPM Memo with logo</dc:title>
</cp:coreProperties>
</file>