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Capital &amp; Trade Resources Corp.</w:t>
            </w:r>
            <w:r>
              <w:rPr>
                <w:b/>
              </w:rPr>
              <w:fldChar w:fldCharType="end"/>
            </w:r>
          </w:p>
          <w:p>
            <w:pPr>
              <w:pStyle w:val="Normal"/>
              <w:tabs>
                <w:tab w:val="clear" w:pos="720"/>
                <w:tab w:val="left" w:pos="2412" w:leader="none"/>
              </w:tabs>
              <w:ind w:start="1962" w:end="0"/>
              <w:rPr/>
            </w:pPr>
            <w:r>
              <w:rPr/>
              <w:fldChar w:fldCharType="begin"/>
            </w:r>
            <w:r>
              <w:rPr/>
              <w:instrText xml:space="preserve"> MERGEFIELD EnronLogoAddr1 </w:instrText>
            </w:r>
            <w:r>
              <w:rPr/>
              <w:fldChar w:fldCharType="separate"/>
            </w:r>
            <w:r>
              <w:rPr/>
              <w:t>P.O. Box 4428</w:t>
            </w:r>
            <w:r>
              <w:rPr/>
              <w:fldChar w:fldCharType="end"/>
            </w:r>
          </w:p>
          <w:p>
            <w:pPr>
              <w:pStyle w:val="Normal"/>
              <w:tabs>
                <w:tab w:val="clear" w:pos="720"/>
                <w:tab w:val="left" w:pos="2412" w:leader="none"/>
              </w:tabs>
              <w:ind w:start="1962" w:end="0"/>
              <w:rPr/>
            </w:pPr>
            <w:r>
              <w:rPr/>
              <w:fldChar w:fldCharType="begin"/>
            </w:r>
            <w:r>
              <w:rPr/>
              <w:instrText xml:space="preserve"> MERGEFIELD EnronLogoAddr2 </w:instrText>
            </w:r>
            <w:r>
              <w:rPr/>
              <w:fldChar w:fldCharType="separate"/>
            </w:r>
            <w:r>
              <w:rPr/>
              <w:t>Houston TX 77210-4428</w:t>
            </w:r>
            <w:r>
              <w:rPr/>
              <w:fldChar w:fldCharType="end"/>
            </w:r>
          </w:p>
          <w:p>
            <w:pPr>
              <w:pStyle w:val="Normal"/>
              <w:tabs>
                <w:tab w:val="clear" w:pos="720"/>
                <w:tab w:val="left" w:pos="2412" w:leader="none"/>
              </w:tabs>
              <w:ind w:start="1962" w:end="0"/>
              <w:rPr/>
            </w:pPr>
            <w:r>
              <w:rPr/>
              <w:fldChar w:fldCharType="begin"/>
            </w:r>
            <w:r>
              <w:rPr/>
              <w:instrText xml:space="preserve"> MERGEFIELD EnronLogoAddr3 </w:instrText>
            </w:r>
            <w:r>
              <w:rPr/>
              <w:fldChar w:fldCharType="separate"/>
            </w:r>
            <w:r>
              <w:rPr/>
              <w:t>(713) 853-3300</w:t>
            </w:r>
            <w:r>
              <w:rPr/>
              <w:fldChar w:fldCharType="end"/>
            </w:r>
          </w:p>
          <w:p>
            <w:pPr>
              <w:pStyle w:val="Normal"/>
              <w:tabs>
                <w:tab w:val="clear" w:pos="720"/>
                <w:tab w:val="left" w:pos="2412" w:leader="none"/>
              </w:tabs>
              <w:ind w:start="1962" w:end="0"/>
              <w:rPr/>
            </w:pPr>
            <w:r>
              <w:rPr/>
              <w:fldChar w:fldCharType="begin"/>
            </w:r>
            <w:r>
              <w:rPr/>
              <w:instrText xml:space="preserve"> MERGEFIELD EnronLogoTelephone </w:instrText>
            </w:r>
            <w:r>
              <w:rPr/>
              <w:fldChar w:fldCharType="separate"/>
            </w:r>
            <w:r>
              <w:rPr/>
              <w:t>Fax (713) 646-4816</w:t>
            </w:r>
            <w:r>
              <w:rPr/>
              <w:fldChar w:fldCharType="end"/>
            </w:r>
          </w:p>
          <w:p>
            <w:pPr>
              <w:pStyle w:val="Norma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Normal"/>
        <w:jc w:val="center"/>
        <w:rPr>
          <w:sz w:val="22"/>
        </w:rPr>
      </w:pPr>
      <w:r>
        <w:rPr>
          <w:sz w:val="22"/>
        </w:rPr>
        <w:tab/>
      </w:r>
    </w:p>
    <w:p>
      <w:pPr>
        <w:pStyle w:val="Normal"/>
        <w:jc w:val="center"/>
        <w:rPr>
          <w:b/>
          <w:sz w:val="22"/>
          <w:u w:val="single"/>
        </w:rPr>
      </w:pPr>
      <w:r>
        <w:rPr>
          <w:b/>
          <w:sz w:val="22"/>
          <w:u w:val="single"/>
        </w:rPr>
        <w:t>CONFIRMATION</w:t>
      </w:r>
    </w:p>
    <w:p>
      <w:pPr>
        <w:pStyle w:val="Normal"/>
        <w:jc w:val="center"/>
        <w:rPr>
          <w:b/>
          <w:sz w:val="22"/>
          <w:u w:val="single"/>
        </w:rPr>
      </w:pPr>
      <w:r>
        <w:rPr>
          <w:b/>
          <w:sz w:val="22"/>
          <w:u w:val="single"/>
        </w:rPr>
      </w:r>
    </w:p>
    <w:p>
      <w:pPr>
        <w:pStyle w:val="Normal"/>
        <w:jc w:val="center"/>
        <w:rPr>
          <w:sz w:val="22"/>
        </w:rPr>
      </w:pPr>
      <w:r>
        <w:rPr>
          <w:sz w:val="22"/>
        </w:rPr>
      </w:r>
    </w:p>
    <w:p>
      <w:pPr>
        <w:pStyle w:val="Normal"/>
        <w:rPr>
          <w:sz w:val="22"/>
        </w:rPr>
      </w:pPr>
      <w:r>
        <w:rPr>
          <w:sz w:val="22"/>
        </w:rPr>
        <w:t>Dates:</w:t>
        <w:tab/>
        <w:tab/>
        <w:tab/>
        <w:tab/>
      </w:r>
      <w:r>
        <w:rPr>
          <w:sz w:val="22"/>
        </w:rPr>
        <w:fldChar w:fldCharType="begin"/>
      </w:r>
      <w:r>
        <w:rPr>
          <w:sz w:val="22"/>
        </w:rPr>
        <w:instrText xml:space="preserve"> MERGEFIELD DealDate </w:instrText>
      </w:r>
      <w:r>
        <w:rPr>
          <w:sz w:val="22"/>
        </w:rPr>
        <w:fldChar w:fldCharType="separate"/>
      </w:r>
      <w:r>
        <w:rPr>
          <w:sz w:val="22"/>
        </w:rPr>
        <w:t>July 08, 1999</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Encore Acquisition Partners, Inc</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ab/>
        <w:tab/>
        <w:t>817-877-1655</w:t>
      </w:r>
    </w:p>
    <w:p>
      <w:pPr>
        <w:pStyle w:val="Normal"/>
        <w:rPr>
          <w:sz w:val="22"/>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Capital &amp; Trade Resources Corp. (“ECT”)</w:t>
      </w:r>
      <w:r>
        <w:rPr>
          <w:sz w:val="22"/>
        </w:rPr>
        <w:fldChar w:fldCharType="end"/>
      </w:r>
    </w:p>
    <w:p>
      <w:pPr>
        <w:pStyle w:val="Normal"/>
        <w:rPr>
          <w:sz w:val="22"/>
        </w:rPr>
      </w:pPr>
      <w:r>
        <w:rPr>
          <w:sz w:val="22"/>
        </w:rPr>
        <w:t>Re:</w:t>
        <w:tab/>
        <w:tab/>
        <w:tab/>
        <w:tab/>
        <w:t>Commodity Option</w:t>
      </w:r>
    </w:p>
    <w:p>
      <w:pPr>
        <w:pStyle w:val="Normal"/>
        <w:rPr/>
      </w:pPr>
      <w:r>
        <w:rPr>
          <w:sz w:val="22"/>
        </w:rPr>
        <w:t>Contract  No.:</w:t>
        <w:tab/>
        <w:tab/>
        <w:tab/>
      </w:r>
      <w:r>
        <w:rPr>
          <w:sz w:val="22"/>
        </w:rPr>
        <w:fldChar w:fldCharType="begin"/>
      </w:r>
      <w:r>
        <w:rPr>
          <w:sz w:val="22"/>
        </w:rPr>
        <w:instrText xml:space="preserve"> MERGEFIELD EnronEntityCode </w:instrText>
      </w:r>
      <w:r>
        <w:rPr>
          <w:sz w:val="22"/>
        </w:rPr>
        <w:fldChar w:fldCharType="separate"/>
      </w:r>
      <w:r>
        <w:rPr>
          <w:sz w:val="22"/>
        </w:rPr>
        <w:t>ECT</w:t>
      </w:r>
      <w:r>
        <w:rPr>
          <w:sz w:val="22"/>
        </w:rPr>
        <w:fldChar w:fldCharType="end"/>
      </w:r>
      <w:r>
        <w:rPr>
          <w:sz w:val="22"/>
        </w:rPr>
        <w:t xml:space="preserve"> Contract No. </w:t>
      </w:r>
      <w:r>
        <w:rPr>
          <w:sz w:val="22"/>
        </w:rPr>
        <w:fldChar w:fldCharType="begin"/>
      </w:r>
      <w:r>
        <w:rPr>
          <w:sz w:val="22"/>
        </w:rPr>
        <w:instrText xml:space="preserve"> MERGEFIELD DealNumber </w:instrText>
      </w:r>
      <w:r>
        <w:rPr>
          <w:sz w:val="22"/>
        </w:rPr>
        <w:fldChar w:fldCharType="separate"/>
      </w:r>
      <w:r>
        <w:rPr>
          <w:sz w:val="22"/>
        </w:rPr>
        <w:t>EY9632.1</w:t>
      </w:r>
      <w:r>
        <w:rPr>
          <w:sz w:val="22"/>
        </w:rPr>
        <w:fldChar w:fldCharType="end"/>
      </w:r>
      <w:r>
        <w:rPr>
          <w:sz w:val="22"/>
        </w:rPr>
        <w:t>, .2, .3</w:t>
      </w:r>
    </w:p>
    <w:p>
      <w:pPr>
        <w:pStyle w:val="Normal"/>
        <w:rPr>
          <w:sz w:val="22"/>
        </w:rPr>
      </w:pPr>
      <w:r>
        <w:rPr>
          <w:sz w:val="22"/>
        </w:rPr>
      </w:r>
    </w:p>
    <w:p>
      <w:pPr>
        <w:pStyle w:val="Normal"/>
        <w:ind w:end="-900"/>
        <w:jc w:val="both"/>
        <w:rPr/>
      </w:pPr>
      <w:r>
        <w:rPr>
          <w:sz w:val="22"/>
        </w:rPr>
        <w:tab/>
        <w:t xml:space="preserve">Reference is made to the Master Agreement dated as of October 19, 1998 (the "Agreement"), as amended and supplemented from time to time, between </w:t>
      </w:r>
      <w:r>
        <w:rPr>
          <w:sz w:val="22"/>
        </w:rPr>
        <w:fldChar w:fldCharType="begin"/>
      </w:r>
      <w:r>
        <w:rPr>
          <w:sz w:val="22"/>
        </w:rPr>
        <w:instrText xml:space="preserve"> MERGEFIELD CounterpartyName </w:instrText>
      </w:r>
      <w:r>
        <w:rPr>
          <w:sz w:val="22"/>
        </w:rPr>
        <w:fldChar w:fldCharType="separate"/>
      </w:r>
      <w:r>
        <w:rPr>
          <w:sz w:val="22"/>
        </w:rPr>
        <w:t>Encore Acquisition Partners, Inc</w:t>
      </w:r>
      <w:r>
        <w:rPr>
          <w:sz w:val="22"/>
        </w:rPr>
        <w:fldChar w:fldCharType="end"/>
      </w:r>
      <w:r>
        <w:rPr>
          <w:sz w:val="22"/>
        </w:rPr>
        <w:t xml:space="preserve"> ("Counterparty") and </w:t>
      </w:r>
      <w:r>
        <w:rPr>
          <w:sz w:val="22"/>
        </w:rPr>
        <w:fldChar w:fldCharType="begin"/>
      </w:r>
      <w:r>
        <w:rPr>
          <w:sz w:val="22"/>
        </w:rPr>
        <w:instrText xml:space="preserve"> MERGEFIELD EnronEntityNameCode </w:instrText>
      </w:r>
      <w:r>
        <w:rPr>
          <w:sz w:val="22"/>
        </w:rPr>
        <w:fldChar w:fldCharType="separate"/>
      </w:r>
      <w:r>
        <w:rPr>
          <w:sz w:val="22"/>
        </w:rPr>
        <w:t>Enron Capital &amp; Trade Resources Corp. (“ECT”)</w:t>
      </w:r>
      <w:r>
        <w:rPr>
          <w:sz w:val="22"/>
        </w:rPr>
        <w:fldChar w:fldCharType="end"/>
      </w:r>
      <w:r>
        <w:rPr>
          <w:sz w:val="22"/>
        </w:rPr>
        <w:t>, pursuant to which this Confirmation is delivered and to which the Transaction contemplated herein is subject.</w:t>
      </w:r>
    </w:p>
    <w:p>
      <w:pPr>
        <w:pStyle w:val="Normal"/>
        <w:ind w:end="-900"/>
        <w:jc w:val="both"/>
        <w:rPr>
          <w:sz w:val="22"/>
        </w:rPr>
      </w:pPr>
      <w:r>
        <w:rPr>
          <w:sz w:val="22"/>
        </w:rPr>
      </w:r>
    </w:p>
    <w:p>
      <w:pPr>
        <w:pStyle w:val="Normal"/>
        <w:ind w:end="-900"/>
        <w:jc w:val="both"/>
        <w:rPr>
          <w:sz w:val="22"/>
        </w:rPr>
      </w:pPr>
      <w:r>
        <w:rPr>
          <w:sz w:val="22"/>
        </w:rPr>
        <w:tab/>
        <w:t>This is a confirmation of the following Transaction entered into with you pursuant to a telephone conversation on the Trade Date below.  Each party hereto acknowledges that this confirmation and Transaction are being entered into for good, valuable and sufficient consideration including but not limited to, the mutual promises made by each party under this Confirmation or the Transaction.  The Parties hereto agree to the following terms:</w:t>
      </w:r>
    </w:p>
    <w:p>
      <w:pPr>
        <w:pStyle w:val="Normal"/>
        <w:rPr>
          <w:sz w:val="22"/>
        </w:rPr>
      </w:pPr>
      <w:r>
        <w:rPr>
          <w:sz w:val="22"/>
        </w:rPr>
      </w:r>
    </w:p>
    <w:p>
      <w:pPr>
        <w:pStyle w:val="Normal"/>
        <w:rPr>
          <w:b/>
          <w:caps/>
          <w:sz w:val="22"/>
        </w:rPr>
      </w:pPr>
      <w:r>
        <w:rPr>
          <w:b/>
          <w:caps/>
          <w:sz w:val="22"/>
        </w:rPr>
        <w:t>General Terms for Options:</w:t>
      </w:r>
    </w:p>
    <w:p>
      <w:pPr>
        <w:pStyle w:val="Normal"/>
        <w:rPr>
          <w:b/>
          <w:caps/>
          <w:sz w:val="22"/>
        </w:rPr>
      </w:pPr>
      <w:r>
        <w:rPr>
          <w:b/>
          <w:caps/>
          <w:sz w:val="22"/>
        </w:rPr>
      </w:r>
    </w:p>
    <w:p>
      <w:pPr>
        <w:pStyle w:val="Normal"/>
        <w:rPr>
          <w:sz w:val="22"/>
        </w:rPr>
      </w:pPr>
      <w:r>
        <w:rPr>
          <w:sz w:val="22"/>
        </w:rPr>
        <w:t>COMMODITY:</w:t>
        <w:tab/>
        <w:tab/>
        <w:tab/>
      </w:r>
      <w:r>
        <w:rPr>
          <w:sz w:val="22"/>
        </w:rPr>
        <w:fldChar w:fldCharType="begin"/>
      </w:r>
      <w:r>
        <w:rPr>
          <w:sz w:val="22"/>
        </w:rPr>
        <w:instrText xml:space="preserve"> MERGEFIELD CommodityName </w:instrText>
      </w:r>
      <w:r>
        <w:rPr>
          <w:sz w:val="22"/>
        </w:rPr>
        <w:fldChar w:fldCharType="separate"/>
      </w:r>
      <w:r>
        <w:rPr>
          <w:sz w:val="22"/>
        </w:rPr>
        <w:t>Crude Oil</w:t>
      </w:r>
      <w:r>
        <w:rPr>
          <w:sz w:val="22"/>
        </w:rPr>
        <w:fldChar w:fldCharType="end"/>
      </w:r>
    </w:p>
    <w:p>
      <w:pPr>
        <w:pStyle w:val="Normal"/>
        <w:rPr>
          <w:sz w:val="22"/>
        </w:rPr>
      </w:pPr>
      <w:r>
        <w:rPr>
          <w:sz w:val="22"/>
        </w:rPr>
      </w:r>
    </w:p>
    <w:p>
      <w:pPr>
        <w:pStyle w:val="Normal"/>
        <w:rPr>
          <w:sz w:val="22"/>
        </w:rPr>
      </w:pPr>
      <w:r>
        <w:rPr>
          <w:sz w:val="22"/>
        </w:rPr>
        <w:t>COMMODITY UNIT:</w:t>
        <w:tab/>
        <w:tab/>
        <w:tab/>
        <w:t>Barrels</w:t>
      </w:r>
    </w:p>
    <w:p>
      <w:pPr>
        <w:pStyle w:val="Normal"/>
        <w:rPr>
          <w:sz w:val="22"/>
        </w:rPr>
      </w:pPr>
      <w:r>
        <w:rPr>
          <w:sz w:val="22"/>
        </w:rPr>
      </w:r>
    </w:p>
    <w:p>
      <w:pPr>
        <w:pStyle w:val="Normal"/>
        <w:rPr>
          <w:sz w:val="22"/>
        </w:rPr>
      </w:pPr>
      <w:r>
        <w:rPr>
          <w:sz w:val="22"/>
        </w:rPr>
        <w:t>TRADE DATE:</w:t>
        <w:tab/>
        <w:tab/>
        <w:tab/>
      </w:r>
      <w:r>
        <w:rPr>
          <w:sz w:val="22"/>
        </w:rPr>
        <w:fldChar w:fldCharType="begin"/>
      </w:r>
      <w:r>
        <w:rPr>
          <w:sz w:val="22"/>
        </w:rPr>
        <w:instrText xml:space="preserve"> MERGEFIELD DealDate </w:instrText>
      </w:r>
      <w:r>
        <w:rPr>
          <w:sz w:val="22"/>
        </w:rPr>
        <w:fldChar w:fldCharType="separate"/>
      </w:r>
      <w:r>
        <w:rPr>
          <w:sz w:val="22"/>
        </w:rPr>
        <w:t>July 08, 1999</w:t>
      </w:r>
      <w:r>
        <w:rPr>
          <w:sz w:val="22"/>
        </w:rPr>
        <w:fldChar w:fldCharType="end"/>
      </w:r>
    </w:p>
    <w:p>
      <w:pPr>
        <w:pStyle w:val="Normal"/>
        <w:rPr>
          <w:sz w:val="22"/>
        </w:rPr>
      </w:pPr>
      <w:r>
        <w:rPr>
          <w:sz w:val="22"/>
        </w:rPr>
      </w:r>
    </w:p>
    <w:p>
      <w:pPr>
        <w:pStyle w:val="Normal"/>
        <w:rPr>
          <w:sz w:val="22"/>
        </w:rPr>
      </w:pPr>
      <w:r>
        <w:rPr>
          <w:sz w:val="22"/>
        </w:rPr>
        <w:t>EFFECTIVE DATE:</w:t>
        <w:tab/>
        <w:tab/>
        <w:tab/>
      </w:r>
      <w:r>
        <w:rPr>
          <w:sz w:val="22"/>
        </w:rPr>
        <w:fldChar w:fldCharType="begin"/>
      </w:r>
      <w:r>
        <w:rPr>
          <w:sz w:val="22"/>
        </w:rPr>
        <w:instrText xml:space="preserve"> MERGEFIELD TransStartDate </w:instrText>
      </w:r>
      <w:r>
        <w:rPr>
          <w:sz w:val="22"/>
        </w:rPr>
        <w:fldChar w:fldCharType="separate"/>
      </w:r>
      <w:r>
        <w:rPr>
          <w:sz w:val="22"/>
        </w:rPr>
        <w:t>January 01, 2000</w:t>
      </w:r>
      <w:r>
        <w:rPr>
          <w:sz w:val="22"/>
        </w:rPr>
        <w:fldChar w:fldCharType="end"/>
      </w:r>
    </w:p>
    <w:p>
      <w:pPr>
        <w:pStyle w:val="Normal"/>
        <w:rPr>
          <w:sz w:val="22"/>
        </w:rPr>
      </w:pPr>
      <w:r>
        <w:rPr>
          <w:sz w:val="22"/>
        </w:rPr>
      </w:r>
    </w:p>
    <w:p>
      <w:pPr>
        <w:pStyle w:val="Normal"/>
        <w:rPr>
          <w:sz w:val="22"/>
        </w:rPr>
      </w:pPr>
      <w:r>
        <w:rPr>
          <w:sz w:val="22"/>
        </w:rPr>
        <w:t>TERMINATION DATE:</w:t>
        <w:tab/>
        <w:tab/>
      </w:r>
      <w:r>
        <w:rPr>
          <w:sz w:val="22"/>
        </w:rPr>
        <w:fldChar w:fldCharType="begin"/>
      </w:r>
      <w:r>
        <w:rPr>
          <w:sz w:val="22"/>
        </w:rPr>
        <w:instrText xml:space="preserve"> MERGEFIELD TransStopDate </w:instrText>
      </w:r>
      <w:r>
        <w:rPr>
          <w:sz w:val="22"/>
        </w:rPr>
        <w:fldChar w:fldCharType="separate"/>
      </w:r>
      <w:r>
        <w:rPr>
          <w:sz w:val="22"/>
        </w:rPr>
        <w:t>June 30, 2000</w:t>
      </w:r>
      <w:r>
        <w:rPr>
          <w:sz w:val="22"/>
        </w:rPr>
        <w:fldChar w:fldCharType="end"/>
      </w:r>
    </w:p>
    <w:p>
      <w:pPr>
        <w:pStyle w:val="Normal"/>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3618"/>
        <w:gridCol w:w="5238"/>
      </w:tblGrid>
      <w:tr>
        <w:trPr/>
        <w:tc>
          <w:tcPr>
            <w:tcW w:w="3618" w:type="dxa"/>
            <w:tcBorders/>
          </w:tcPr>
          <w:p>
            <w:pPr>
              <w:pStyle w:val="Normal"/>
              <w:rPr>
                <w:sz w:val="22"/>
              </w:rPr>
            </w:pPr>
            <w:r>
              <w:rPr>
                <w:sz w:val="22"/>
              </w:rPr>
              <w:t>DETERMINATION PERIOD(S):</w:t>
            </w:r>
          </w:p>
        </w:tc>
        <w:tc>
          <w:tcPr>
            <w:tcW w:w="5238"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January 01, 2000 and ending on June 30, 2000.</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p>
            <w:pPr>
              <w:pStyle w:val="Normal"/>
              <w:jc w:val="both"/>
              <w:rPr>
                <w:sz w:val="22"/>
              </w:rPr>
            </w:pPr>
            <w:r>
              <w:rPr>
                <w:sz w:val="22"/>
              </w:rPr>
            </w:r>
          </w:p>
        </w:tc>
      </w:tr>
      <w:tr>
        <w:trPr>
          <w:trHeight w:val="558" w:hRule="atLeast"/>
        </w:trPr>
        <w:tc>
          <w:tcPr>
            <w:tcW w:w="3618" w:type="dxa"/>
            <w:tcBorders/>
          </w:tcPr>
          <w:p>
            <w:pPr>
              <w:pStyle w:val="Normal"/>
              <w:rPr>
                <w:sz w:val="22"/>
              </w:rPr>
            </w:pPr>
            <w:r>
              <w:rPr>
                <w:sz w:val="22"/>
              </w:rPr>
              <w:t>PAYMENT DATE(S):</w:t>
            </w:r>
          </w:p>
        </w:tc>
        <w:tc>
          <w:tcPr>
            <w:tcW w:w="5238"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sz w:val="22"/>
        </w:rPr>
      </w:pPr>
      <w:r>
        <w:rPr>
          <w:sz w:val="22"/>
        </w:rPr>
      </w:r>
      <w:r>
        <w:br w:type="page"/>
      </w:r>
    </w:p>
    <w:p>
      <w:pPr>
        <w:pStyle w:val="Normal"/>
        <w:rPr>
          <w:b/>
          <w:caps/>
          <w:sz w:val="22"/>
        </w:rPr>
      </w:pPr>
      <w:r>
        <w:rPr>
          <w:b/>
          <w:caps/>
          <w:sz w:val="22"/>
        </w:rPr>
        <w:t>Procedures for Exercise:</w:t>
      </w:r>
    </w:p>
    <w:p>
      <w:pPr>
        <w:pStyle w:val="Normal"/>
        <w:rPr>
          <w:b/>
          <w:caps/>
          <w:sz w:val="22"/>
        </w:rPr>
      </w:pPr>
      <w:r>
        <w:rPr>
          <w:b/>
          <w:caps/>
          <w:sz w:val="22"/>
        </w:rPr>
      </w:r>
    </w:p>
    <w:p>
      <w:pPr>
        <w:pStyle w:val="Normal"/>
        <w:rPr>
          <w:sz w:val="22"/>
        </w:rPr>
      </w:pPr>
      <w:r>
        <w:rPr>
          <w:sz w:val="22"/>
        </w:rPr>
        <w:t>Automatic Exercise:</w:t>
        <w:tab/>
        <w:tab/>
        <w:tab/>
        <w:t>Applicable</w:t>
      </w:r>
    </w:p>
    <w:p>
      <w:pPr>
        <w:pStyle w:val="Normal"/>
        <w:rPr>
          <w:sz w:val="22"/>
        </w:rPr>
      </w:pPr>
      <w:r>
        <w:rPr>
          <w:sz w:val="22"/>
        </w:rPr>
      </w:r>
    </w:p>
    <w:p>
      <w:pPr>
        <w:pStyle w:val="Normal"/>
        <w:rPr>
          <w:sz w:val="22"/>
        </w:rPr>
      </w:pPr>
      <w:r>
        <w:rPr>
          <w:sz w:val="22"/>
        </w:rPr>
        <w:t>Written Confirmation:</w:t>
        <w:tab/>
        <w:tab/>
        <w:tab/>
        <w:t>Inapplicable</w:t>
      </w:r>
    </w:p>
    <w:p>
      <w:pPr>
        <w:pStyle w:val="Normal"/>
        <w:rPr>
          <w:sz w:val="22"/>
        </w:rPr>
      </w:pPr>
      <w:r>
        <w:rPr>
          <w:sz w:val="22"/>
        </w:rPr>
      </w:r>
    </w:p>
    <w:p>
      <w:pPr>
        <w:pStyle w:val="Heading1"/>
        <w:ind w:hanging="0" w:start="0"/>
        <w:rPr/>
      </w:pPr>
      <w:r>
        <w:rPr/>
        <w:t>Transaction terms for Option 1:</w:t>
      </w:r>
    </w:p>
    <w:p>
      <w:pPr>
        <w:pStyle w:val="Normal"/>
        <w:rPr>
          <w:sz w:val="22"/>
        </w:rPr>
      </w:pPr>
      <w:r>
        <w:rPr>
          <w:sz w:val="22"/>
        </w:rPr>
      </w:r>
    </w:p>
    <w:p>
      <w:pPr>
        <w:pStyle w:val="Normal"/>
        <w:rPr>
          <w:sz w:val="22"/>
        </w:rPr>
      </w:pPr>
      <w:r>
        <w:rPr>
          <w:sz w:val="22"/>
        </w:rPr>
        <w:t>NOTIONAL QUANTITY PER</w:t>
      </w:r>
    </w:p>
    <w:tbl>
      <w:tblPr>
        <w:tblW w:w="8856" w:type="dxa"/>
        <w:jc w:val="start"/>
        <w:tblInd w:w="0" w:type="dxa"/>
        <w:tblLayout w:type="fixed"/>
        <w:tblCellMar>
          <w:top w:w="0" w:type="dxa"/>
          <w:start w:w="108" w:type="dxa"/>
          <w:bottom w:w="0" w:type="dxa"/>
          <w:end w:w="108" w:type="dxa"/>
        </w:tblCellMar>
      </w:tblPr>
      <w:tblGrid>
        <w:gridCol w:w="3618"/>
        <w:gridCol w:w="5238"/>
      </w:tblGrid>
      <w:tr>
        <w:trPr/>
        <w:tc>
          <w:tcPr>
            <w:tcW w:w="3618" w:type="dxa"/>
            <w:tcBorders/>
          </w:tcPr>
          <w:p>
            <w:pPr>
              <w:pStyle w:val="Normal"/>
              <w:rPr>
                <w:sz w:val="22"/>
              </w:rPr>
            </w:pPr>
            <w:r>
              <w:rPr>
                <w:sz w:val="22"/>
              </w:rPr>
              <w:t>DETERMINATION PERIOD:</w:t>
            </w:r>
          </w:p>
        </w:tc>
        <w:tc>
          <w:tcPr>
            <w:tcW w:w="5238" w:type="dxa"/>
            <w:tcBorders/>
          </w:tcPr>
          <w:p>
            <w:pPr>
              <w:pStyle w:val="Normal"/>
              <w:rPr>
                <w:sz w:val="22"/>
              </w:rPr>
            </w:pPr>
            <w:r>
              <w:rPr>
                <w:sz w:val="22"/>
              </w:rPr>
              <w:fldChar w:fldCharType="begin"/>
            </w:r>
            <w:r>
              <w:rPr>
                <w:sz w:val="22"/>
              </w:rPr>
              <w:instrText xml:space="preserve"> MERGEFIELD QtyPerPeriod </w:instrText>
            </w:r>
            <w:r>
              <w:rPr>
                <w:sz w:val="22"/>
              </w:rPr>
              <w:fldChar w:fldCharType="separate"/>
            </w:r>
            <w:r>
              <w:rPr>
                <w:sz w:val="22"/>
              </w:rPr>
              <w:t>500 Barrels multiplied by the number of days in the relevant Determination Period</w:t>
            </w:r>
            <w:r>
              <w:rPr>
                <w:sz w:val="22"/>
              </w:rPr>
              <w:fldChar w:fldCharType="end"/>
            </w:r>
          </w:p>
        </w:tc>
      </w:tr>
    </w:tbl>
    <w:p>
      <w:pPr>
        <w:pStyle w:val="Normal"/>
        <w:rPr>
          <w:sz w:val="22"/>
        </w:rPr>
      </w:pPr>
      <w:r>
        <w:rPr>
          <w:sz w:val="22"/>
        </w:rPr>
      </w:r>
    </w:p>
    <w:p>
      <w:pPr>
        <w:pStyle w:val="Normal"/>
        <w:rPr>
          <w:sz w:val="22"/>
        </w:rPr>
      </w:pPr>
      <w:r>
        <w:rPr>
          <w:sz w:val="22"/>
        </w:rPr>
        <w:t>TYPE OF TRANSACTION:</w:t>
        <w:tab/>
        <w:tab/>
        <w:t>Call</w:t>
      </w:r>
    </w:p>
    <w:p>
      <w:pPr>
        <w:pStyle w:val="Normal"/>
        <w:rPr>
          <w:sz w:val="22"/>
        </w:rPr>
      </w:pPr>
      <w:r>
        <w:rPr>
          <w:sz w:val="22"/>
        </w:rPr>
      </w:r>
    </w:p>
    <w:p>
      <w:pPr>
        <w:pStyle w:val="Normal"/>
        <w:rPr>
          <w:sz w:val="22"/>
        </w:rPr>
      </w:pPr>
      <w:r>
        <w:rPr>
          <w:sz w:val="22"/>
        </w:rPr>
        <w:t>BUYER:</w:t>
        <w:tab/>
        <w:tab/>
        <w:tab/>
        <w:tab/>
      </w:r>
      <w:r>
        <w:rPr>
          <w:sz w:val="22"/>
        </w:rPr>
        <w:fldChar w:fldCharType="begin"/>
      </w:r>
      <w:r>
        <w:rPr>
          <w:sz w:val="22"/>
        </w:rPr>
        <w:instrText xml:space="preserve"> MERGEFIELD FixedPayerWCP </w:instrText>
      </w:r>
      <w:r>
        <w:rPr>
          <w:sz w:val="22"/>
        </w:rPr>
        <w:fldChar w:fldCharType="separate"/>
      </w:r>
      <w:r>
        <w:rPr>
          <w:sz w:val="22"/>
        </w:rPr>
        <w:t>ECT</w:t>
      </w:r>
      <w:r>
        <w:rPr>
          <w:sz w:val="22"/>
        </w:rPr>
        <w:fldChar w:fldCharType="end"/>
      </w:r>
    </w:p>
    <w:p>
      <w:pPr>
        <w:pStyle w:val="Normal"/>
        <w:rPr>
          <w:sz w:val="22"/>
        </w:rPr>
      </w:pPr>
      <w:r>
        <w:rPr>
          <w:sz w:val="22"/>
        </w:rPr>
      </w:r>
    </w:p>
    <w:p>
      <w:pPr>
        <w:pStyle w:val="Normal"/>
        <w:rPr>
          <w:sz w:val="22"/>
        </w:rPr>
      </w:pPr>
      <w:r>
        <w:rPr>
          <w:sz w:val="22"/>
        </w:rPr>
        <w:t>SELLER:</w:t>
        <w:tab/>
        <w:tab/>
        <w:tab/>
        <w:tab/>
      </w:r>
      <w:r>
        <w:rPr>
          <w:sz w:val="22"/>
        </w:rPr>
        <w:fldChar w:fldCharType="begin"/>
      </w:r>
      <w:r>
        <w:rPr>
          <w:sz w:val="22"/>
        </w:rPr>
        <w:instrText xml:space="preserve"> MERGEFIELD FloatPayerWCP </w:instrText>
      </w:r>
      <w:r>
        <w:rPr>
          <w:sz w:val="22"/>
        </w:rPr>
        <w:fldChar w:fldCharType="separate"/>
      </w:r>
      <w:r>
        <w:rPr>
          <w:sz w:val="22"/>
        </w:rPr>
        <w:t>Counterparty</w:t>
      </w:r>
      <w:r>
        <w:rPr>
          <w:sz w:val="22"/>
        </w:rPr>
        <w:fldChar w:fldCharType="end"/>
      </w:r>
    </w:p>
    <w:p>
      <w:pPr>
        <w:pStyle w:val="Normal"/>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3618"/>
        <w:gridCol w:w="5238"/>
      </w:tblGrid>
      <w:tr>
        <w:trPr/>
        <w:tc>
          <w:tcPr>
            <w:tcW w:w="3618" w:type="dxa"/>
            <w:tcBorders/>
          </w:tcPr>
          <w:p>
            <w:pPr>
              <w:pStyle w:val="Normal"/>
              <w:rPr>
                <w:sz w:val="22"/>
              </w:rPr>
            </w:pPr>
            <w:r>
              <w:rPr>
                <w:sz w:val="22"/>
              </w:rPr>
              <w:t>CAP PRICE:</w:t>
            </w:r>
          </w:p>
        </w:tc>
        <w:tc>
          <w:tcPr>
            <w:tcW w:w="5238"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$20.75000 per Barrel</w:t>
            </w:r>
            <w:r>
              <w:rPr>
                <w:sz w:val="22"/>
              </w:rPr>
              <w:fldChar w:fldCharType="end"/>
            </w:r>
          </w:p>
        </w:tc>
      </w:tr>
    </w:tbl>
    <w:p>
      <w:pPr>
        <w:pStyle w:val="Normal"/>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3618"/>
        <w:gridCol w:w="5238"/>
      </w:tblGrid>
      <w:tr>
        <w:trPr/>
        <w:tc>
          <w:tcPr>
            <w:tcW w:w="3618" w:type="dxa"/>
            <w:tcBorders/>
          </w:tcPr>
          <w:p>
            <w:pPr>
              <w:pStyle w:val="Normal"/>
              <w:rPr>
                <w:sz w:val="22"/>
              </w:rPr>
            </w:pPr>
            <w:r>
              <w:rPr>
                <w:sz w:val="22"/>
              </w:rPr>
              <w:t>FLOATING PRICE:</w:t>
            </w:r>
          </w:p>
        </w:tc>
        <w:tc>
          <w:tcPr>
            <w:tcW w:w="5238"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daily settlement prices for the prompt month of the NYMEX Light Sweet Crude Oil Futures Contract for each NYMEX Trading Day for the applicable Determination Period</w:t>
            </w:r>
            <w:r>
              <w:rPr>
                <w:sz w:val="22"/>
              </w:rPr>
              <w:fldChar w:fldCharType="end"/>
            </w:r>
          </w:p>
        </w:tc>
      </w:tr>
      <w:tr>
        <w:trPr/>
        <w:tc>
          <w:tcPr>
            <w:tcW w:w="3618" w:type="dxa"/>
            <w:tcBorders/>
          </w:tcPr>
          <w:p>
            <w:pPr>
              <w:pStyle w:val="Normal"/>
              <w:snapToGrid w:val="false"/>
              <w:rPr>
                <w:sz w:val="22"/>
              </w:rPr>
            </w:pPr>
            <w:r>
              <w:rPr>
                <w:sz w:val="22"/>
              </w:rPr>
            </w:r>
          </w:p>
          <w:p>
            <w:pPr>
              <w:pStyle w:val="Normal"/>
              <w:rPr>
                <w:sz w:val="22"/>
              </w:rPr>
            </w:pPr>
            <w:r>
              <w:rPr>
                <w:sz w:val="22"/>
              </w:rPr>
              <w:t>CASH SETTLEMENT AMOUNT:</w:t>
            </w:r>
          </w:p>
        </w:tc>
        <w:tc>
          <w:tcPr>
            <w:tcW w:w="5238" w:type="dxa"/>
            <w:tcBorders/>
          </w:tcPr>
          <w:p>
            <w:pPr>
              <w:pStyle w:val="Normal"/>
              <w:snapToGrid w:val="false"/>
              <w:jc w:val="both"/>
              <w:rPr>
                <w:sz w:val="22"/>
              </w:rPr>
            </w:pPr>
            <w:r>
              <w:rPr>
                <w:sz w:val="22"/>
              </w:rPr>
            </w:r>
          </w:p>
          <w:p>
            <w:pPr>
              <w:pStyle w:val="Normal"/>
              <w:jc w:val="both"/>
              <w:rPr>
                <w:sz w:val="22"/>
              </w:rPr>
            </w:pPr>
            <w:r>
              <w:rPr>
                <w:sz w:val="22"/>
              </w:rPr>
              <w:t>If for any Determination Period the Cap Price is less than the Floating Price, an amount equal to the product of (i) the Notional Quantity per Determination Period multiplied by (ii) the excess of the Floating Price over the Cap Price.  If for any Determination Period the Cap Price is equal to or greater than the Floating Price, then no payment shall be due with respect to such Determination Period.</w:t>
            </w:r>
          </w:p>
          <w:p>
            <w:pPr>
              <w:pStyle w:val="Normal"/>
              <w:jc w:val="both"/>
              <w:rPr>
                <w:sz w:val="22"/>
              </w:rPr>
            </w:pPr>
            <w:r>
              <w:rPr>
                <w:sz w:val="22"/>
              </w:rPr>
            </w:r>
          </w:p>
        </w:tc>
      </w:tr>
    </w:tbl>
    <w:p>
      <w:pPr>
        <w:pStyle w:val="Heading1"/>
        <w:ind w:hanging="0" w:start="0"/>
        <w:rPr/>
      </w:pPr>
      <w:r>
        <w:rPr/>
        <w:t>Transaction terms for Option 2:</w:t>
      </w:r>
    </w:p>
    <w:p>
      <w:pPr>
        <w:pStyle w:val="Normal"/>
        <w:rPr/>
      </w:pPr>
      <w:r>
        <w:rPr/>
      </w:r>
    </w:p>
    <w:p>
      <w:pPr>
        <w:pStyle w:val="Normal"/>
        <w:rPr>
          <w:sz w:val="22"/>
        </w:rPr>
      </w:pPr>
      <w:r>
        <w:rPr>
          <w:sz w:val="22"/>
        </w:rPr>
        <w:t>NOTIONAL QUANTITY PER</w:t>
      </w:r>
    </w:p>
    <w:tbl>
      <w:tblPr>
        <w:tblW w:w="8856" w:type="dxa"/>
        <w:jc w:val="start"/>
        <w:tblInd w:w="0" w:type="dxa"/>
        <w:tblLayout w:type="fixed"/>
        <w:tblCellMar>
          <w:top w:w="0" w:type="dxa"/>
          <w:start w:w="108" w:type="dxa"/>
          <w:bottom w:w="0" w:type="dxa"/>
          <w:end w:w="108" w:type="dxa"/>
        </w:tblCellMar>
      </w:tblPr>
      <w:tblGrid>
        <w:gridCol w:w="3618"/>
        <w:gridCol w:w="5238"/>
      </w:tblGrid>
      <w:tr>
        <w:trPr/>
        <w:tc>
          <w:tcPr>
            <w:tcW w:w="3618" w:type="dxa"/>
            <w:tcBorders/>
          </w:tcPr>
          <w:p>
            <w:pPr>
              <w:pStyle w:val="Normal"/>
              <w:rPr>
                <w:sz w:val="22"/>
              </w:rPr>
            </w:pPr>
            <w:r>
              <w:rPr>
                <w:sz w:val="22"/>
              </w:rPr>
              <w:t>DETERMINATION PERIOD:</w:t>
            </w:r>
          </w:p>
        </w:tc>
        <w:tc>
          <w:tcPr>
            <w:tcW w:w="5238" w:type="dxa"/>
            <w:tcBorders/>
          </w:tcPr>
          <w:p>
            <w:pPr>
              <w:pStyle w:val="Normal"/>
              <w:rPr>
                <w:sz w:val="22"/>
              </w:rPr>
            </w:pPr>
            <w:r>
              <w:rPr>
                <w:sz w:val="22"/>
              </w:rPr>
              <w:fldChar w:fldCharType="begin"/>
            </w:r>
            <w:r>
              <w:rPr>
                <w:sz w:val="22"/>
              </w:rPr>
              <w:instrText xml:space="preserve"> MERGEFIELD QtyPerPeriod </w:instrText>
            </w:r>
            <w:r>
              <w:rPr>
                <w:sz w:val="22"/>
              </w:rPr>
              <w:fldChar w:fldCharType="separate"/>
            </w:r>
            <w:r>
              <w:rPr>
                <w:sz w:val="22"/>
              </w:rPr>
              <w:t>500 Barrels multiplied by the number of days in the relevant Determination Period</w:t>
            </w:r>
            <w:r>
              <w:rPr>
                <w:sz w:val="22"/>
              </w:rPr>
              <w:fldChar w:fldCharType="end"/>
            </w:r>
          </w:p>
        </w:tc>
      </w:tr>
    </w:tbl>
    <w:p>
      <w:pPr>
        <w:pStyle w:val="Normal"/>
        <w:rPr/>
      </w:pPr>
      <w:r>
        <w:rPr/>
      </w:r>
    </w:p>
    <w:p>
      <w:pPr>
        <w:pStyle w:val="Normal"/>
        <w:rPr>
          <w:sz w:val="22"/>
        </w:rPr>
      </w:pPr>
      <w:r>
        <w:rPr>
          <w:sz w:val="22"/>
        </w:rPr>
        <w:t>TYPE OF TRANSACTION:</w:t>
        <w:tab/>
        <w:tab/>
        <w:t xml:space="preserve">Put </w:t>
      </w:r>
    </w:p>
    <w:p>
      <w:pPr>
        <w:pStyle w:val="Normal"/>
        <w:rPr>
          <w:sz w:val="22"/>
        </w:rPr>
      </w:pPr>
      <w:r>
        <w:rPr>
          <w:sz w:val="22"/>
        </w:rPr>
      </w:r>
    </w:p>
    <w:p>
      <w:pPr>
        <w:pStyle w:val="Normal"/>
        <w:rPr>
          <w:sz w:val="22"/>
        </w:rPr>
      </w:pPr>
      <w:r>
        <w:rPr>
          <w:sz w:val="22"/>
        </w:rPr>
        <w:t>BUYER:</w:t>
        <w:tab/>
        <w:tab/>
        <w:tab/>
        <w:tab/>
      </w:r>
      <w:r>
        <w:rPr>
          <w:sz w:val="22"/>
        </w:rPr>
        <w:fldChar w:fldCharType="begin"/>
      </w:r>
      <w:r>
        <w:rPr>
          <w:sz w:val="22"/>
        </w:rPr>
        <w:instrText xml:space="preserve"> MERGEFIELD FloatPayerWCP </w:instrText>
      </w:r>
      <w:r>
        <w:rPr>
          <w:sz w:val="22"/>
        </w:rPr>
        <w:fldChar w:fldCharType="separate"/>
      </w:r>
      <w:r>
        <w:rPr>
          <w:sz w:val="22"/>
        </w:rPr>
        <w:t>Counterparty</w:t>
      </w:r>
      <w:r>
        <w:rPr>
          <w:sz w:val="22"/>
        </w:rPr>
        <w:fldChar w:fldCharType="end"/>
      </w:r>
    </w:p>
    <w:p>
      <w:pPr>
        <w:pStyle w:val="Normal"/>
        <w:rPr>
          <w:sz w:val="22"/>
        </w:rPr>
      </w:pPr>
      <w:r>
        <w:rPr>
          <w:sz w:val="22"/>
        </w:rPr>
      </w:r>
    </w:p>
    <w:p>
      <w:pPr>
        <w:pStyle w:val="Normal"/>
        <w:rPr>
          <w:sz w:val="22"/>
        </w:rPr>
      </w:pPr>
      <w:r>
        <w:rPr>
          <w:sz w:val="22"/>
        </w:rPr>
        <w:t>SELLER:</w:t>
        <w:tab/>
        <w:tab/>
        <w:tab/>
        <w:tab/>
        <w:t>ECT</w:t>
      </w:r>
    </w:p>
    <w:p>
      <w:pPr>
        <w:pStyle w:val="Normal"/>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3618"/>
        <w:gridCol w:w="5238"/>
      </w:tblGrid>
      <w:tr>
        <w:trPr/>
        <w:tc>
          <w:tcPr>
            <w:tcW w:w="3618" w:type="dxa"/>
            <w:tcBorders/>
          </w:tcPr>
          <w:p>
            <w:pPr>
              <w:pStyle w:val="Normal"/>
              <w:rPr>
                <w:sz w:val="22"/>
              </w:rPr>
            </w:pPr>
            <w:r>
              <w:rPr>
                <w:sz w:val="22"/>
              </w:rPr>
              <w:t>FLOOR PRICE:</w:t>
            </w:r>
          </w:p>
        </w:tc>
        <w:tc>
          <w:tcPr>
            <w:tcW w:w="5238"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$18.50000 per Barrel</w:t>
            </w:r>
            <w:r>
              <w:rPr>
                <w:sz w:val="22"/>
              </w:rPr>
              <w:fldChar w:fldCharType="end"/>
            </w:r>
          </w:p>
        </w:tc>
      </w:tr>
    </w:tbl>
    <w:p>
      <w:pPr>
        <w:pStyle w:val="Normal"/>
        <w:rPr>
          <w:sz w:val="22"/>
        </w:rPr>
      </w:pPr>
      <w:r>
        <w:rPr>
          <w:sz w:val="22"/>
        </w:rPr>
      </w:r>
      <w:r>
        <w:br w:type="page"/>
      </w:r>
    </w:p>
    <w:p>
      <w:pPr>
        <w:pStyle w:val="Normal"/>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3618"/>
        <w:gridCol w:w="5238"/>
      </w:tblGrid>
      <w:tr>
        <w:trPr/>
        <w:tc>
          <w:tcPr>
            <w:tcW w:w="3618" w:type="dxa"/>
            <w:tcBorders/>
          </w:tcPr>
          <w:p>
            <w:pPr>
              <w:pStyle w:val="Normal"/>
              <w:rPr>
                <w:sz w:val="22"/>
              </w:rPr>
            </w:pPr>
            <w:r>
              <w:rPr>
                <w:sz w:val="22"/>
              </w:rPr>
              <w:t>FLOATING PRICE:</w:t>
            </w:r>
          </w:p>
        </w:tc>
        <w:tc>
          <w:tcPr>
            <w:tcW w:w="5238" w:type="dxa"/>
            <w:tcBorders/>
          </w:tcPr>
          <w:p>
            <w:pPr>
              <w:pStyle w:val="Normal"/>
              <w:jc w:val="both"/>
              <w:rPr/>
            </w:pPr>
            <w:r>
              <w:rPr>
                <w:sz w:val="22"/>
              </w:rPr>
              <w:fldChar w:fldCharType="begin"/>
            </w:r>
            <w:r>
              <w:rPr>
                <w:sz w:val="22"/>
              </w:rPr>
              <w:instrText xml:space="preserve"> MERGEFIELD FloatPrice </w:instrText>
            </w:r>
            <w:r>
              <w:rPr>
                <w:sz w:val="22"/>
              </w:rPr>
              <w:fldChar w:fldCharType="separate"/>
            </w:r>
            <w:r>
              <w:rPr>
                <w:sz w:val="22"/>
              </w:rPr>
              <w:t>The average of the daily settlement prices for the prompt month of the NYMEX Light Sweet Crude Oil Futures Contract for each NYMEX Trading Day for the applicable Determination Period</w:t>
            </w:r>
            <w:r>
              <w:rPr>
                <w:sz w:val="22"/>
              </w:rPr>
              <w:fldChar w:fldCharType="end"/>
            </w:r>
            <w:r>
              <w:rPr>
                <w:sz w:val="22"/>
              </w:rPr>
              <w:t>.</w:t>
            </w:r>
          </w:p>
        </w:tc>
      </w:tr>
      <w:tr>
        <w:trPr/>
        <w:tc>
          <w:tcPr>
            <w:tcW w:w="3618" w:type="dxa"/>
            <w:tcBorders/>
          </w:tcPr>
          <w:p>
            <w:pPr>
              <w:pStyle w:val="Normal"/>
              <w:snapToGrid w:val="false"/>
              <w:rPr>
                <w:sz w:val="22"/>
              </w:rPr>
            </w:pPr>
            <w:r>
              <w:rPr>
                <w:sz w:val="22"/>
              </w:rPr>
            </w:r>
          </w:p>
          <w:p>
            <w:pPr>
              <w:pStyle w:val="Normal"/>
              <w:rPr>
                <w:sz w:val="22"/>
              </w:rPr>
            </w:pPr>
            <w:r>
              <w:rPr>
                <w:sz w:val="22"/>
              </w:rPr>
              <w:t>CASH SETTLEMENT AMOUNT:</w:t>
            </w:r>
          </w:p>
        </w:tc>
        <w:tc>
          <w:tcPr>
            <w:tcW w:w="5238" w:type="dxa"/>
            <w:tcBorders/>
          </w:tcPr>
          <w:p>
            <w:pPr>
              <w:pStyle w:val="Normal"/>
              <w:snapToGrid w:val="false"/>
              <w:jc w:val="both"/>
              <w:rPr>
                <w:sz w:val="22"/>
              </w:rPr>
            </w:pPr>
            <w:r>
              <w:rPr>
                <w:sz w:val="22"/>
              </w:rPr>
            </w:r>
          </w:p>
          <w:p>
            <w:pPr>
              <w:pStyle w:val="Normal"/>
              <w:jc w:val="both"/>
              <w:rPr>
                <w:sz w:val="22"/>
              </w:rPr>
            </w:pPr>
            <w:r>
              <w:rPr>
                <w:sz w:val="22"/>
              </w:rPr>
              <w:t>If for any Determination Period the Floating Price is less that the Floor Price, an amount equal to the product of (i) the Notional Quantity per Determination Period multiplied by (ii) the excess of the Floor Price over the Floating Price.  If for any Determination Period the Floor Price is equal to or less than the Floating Price, the no payment shall be due with respect to such Determination Period.</w:t>
            </w:r>
          </w:p>
        </w:tc>
      </w:tr>
    </w:tbl>
    <w:p>
      <w:pPr>
        <w:pStyle w:val="Heading1"/>
        <w:ind w:hanging="0" w:start="0"/>
        <w:rPr/>
      </w:pPr>
      <w:r>
        <w:rPr/>
      </w:r>
    </w:p>
    <w:p>
      <w:pPr>
        <w:pStyle w:val="Heading1"/>
        <w:ind w:hanging="0" w:start="0"/>
        <w:rPr/>
      </w:pPr>
      <w:r>
        <w:rPr/>
        <w:t>Transaction terms for Option 3:</w:t>
      </w:r>
    </w:p>
    <w:p>
      <w:pPr>
        <w:pStyle w:val="Normal"/>
        <w:rPr/>
      </w:pPr>
      <w:r>
        <w:rPr/>
      </w:r>
    </w:p>
    <w:p>
      <w:pPr>
        <w:pStyle w:val="Normal"/>
        <w:rPr>
          <w:sz w:val="22"/>
        </w:rPr>
      </w:pPr>
      <w:r>
        <w:rPr>
          <w:sz w:val="22"/>
        </w:rPr>
        <w:t>NOTIONAL QUANTITY PER</w:t>
      </w:r>
    </w:p>
    <w:tbl>
      <w:tblPr>
        <w:tblW w:w="8856" w:type="dxa"/>
        <w:jc w:val="start"/>
        <w:tblInd w:w="0" w:type="dxa"/>
        <w:tblLayout w:type="fixed"/>
        <w:tblCellMar>
          <w:top w:w="0" w:type="dxa"/>
          <w:start w:w="108" w:type="dxa"/>
          <w:bottom w:w="0" w:type="dxa"/>
          <w:end w:w="108" w:type="dxa"/>
        </w:tblCellMar>
      </w:tblPr>
      <w:tblGrid>
        <w:gridCol w:w="3618"/>
        <w:gridCol w:w="5238"/>
      </w:tblGrid>
      <w:tr>
        <w:trPr/>
        <w:tc>
          <w:tcPr>
            <w:tcW w:w="3618" w:type="dxa"/>
            <w:tcBorders/>
          </w:tcPr>
          <w:p>
            <w:pPr>
              <w:pStyle w:val="Normal"/>
              <w:rPr>
                <w:sz w:val="22"/>
              </w:rPr>
            </w:pPr>
            <w:r>
              <w:rPr>
                <w:sz w:val="22"/>
              </w:rPr>
              <w:t>DETERMINATION PERIOD:</w:t>
            </w:r>
          </w:p>
        </w:tc>
        <w:tc>
          <w:tcPr>
            <w:tcW w:w="5238" w:type="dxa"/>
            <w:tcBorders/>
          </w:tcPr>
          <w:p>
            <w:pPr>
              <w:pStyle w:val="Normal"/>
              <w:rPr>
                <w:sz w:val="22"/>
              </w:rPr>
            </w:pPr>
            <w:r>
              <w:rPr>
                <w:sz w:val="22"/>
              </w:rPr>
              <w:fldChar w:fldCharType="begin"/>
            </w:r>
            <w:r>
              <w:rPr>
                <w:sz w:val="22"/>
              </w:rPr>
              <w:instrText xml:space="preserve"> MERGEFIELD QtyPerPeriod </w:instrText>
            </w:r>
            <w:r>
              <w:rPr>
                <w:sz w:val="22"/>
              </w:rPr>
              <w:fldChar w:fldCharType="separate"/>
            </w:r>
            <w:r>
              <w:rPr>
                <w:sz w:val="22"/>
              </w:rPr>
              <w:t>500 Barrels multiplied by the number of days in the relevant Determination Period</w:t>
            </w:r>
            <w:r>
              <w:rPr>
                <w:sz w:val="22"/>
              </w:rPr>
              <w:fldChar w:fldCharType="end"/>
            </w:r>
          </w:p>
        </w:tc>
      </w:tr>
    </w:tbl>
    <w:p>
      <w:pPr>
        <w:pStyle w:val="Normal"/>
        <w:rPr>
          <w:sz w:val="22"/>
        </w:rPr>
      </w:pPr>
      <w:r>
        <w:rPr>
          <w:sz w:val="22"/>
        </w:rPr>
      </w:r>
    </w:p>
    <w:p>
      <w:pPr>
        <w:pStyle w:val="Normal"/>
        <w:rPr>
          <w:sz w:val="22"/>
        </w:rPr>
      </w:pPr>
      <w:r>
        <w:rPr>
          <w:sz w:val="22"/>
        </w:rPr>
        <w:t>TYPE OF TRANSACTION:</w:t>
        <w:tab/>
        <w:tab/>
        <w:t xml:space="preserve">Put </w:t>
      </w:r>
    </w:p>
    <w:p>
      <w:pPr>
        <w:pStyle w:val="Normal"/>
        <w:rPr>
          <w:sz w:val="22"/>
        </w:rPr>
      </w:pPr>
      <w:r>
        <w:rPr>
          <w:sz w:val="22"/>
        </w:rPr>
      </w:r>
    </w:p>
    <w:p>
      <w:pPr>
        <w:pStyle w:val="Normal"/>
        <w:rPr>
          <w:sz w:val="22"/>
        </w:rPr>
      </w:pPr>
      <w:r>
        <w:rPr>
          <w:sz w:val="22"/>
        </w:rPr>
        <w:t>BUYER:</w:t>
        <w:tab/>
        <w:tab/>
        <w:tab/>
        <w:tab/>
      </w:r>
      <w:r>
        <w:rPr>
          <w:sz w:val="22"/>
        </w:rPr>
        <w:fldChar w:fldCharType="begin"/>
      </w:r>
      <w:r>
        <w:rPr>
          <w:sz w:val="22"/>
        </w:rPr>
        <w:instrText xml:space="preserve"> MERGEFIELD FixedPayerWCP </w:instrText>
      </w:r>
      <w:r>
        <w:rPr>
          <w:sz w:val="22"/>
        </w:rPr>
        <w:fldChar w:fldCharType="separate"/>
      </w:r>
      <w:r>
        <w:rPr>
          <w:sz w:val="22"/>
        </w:rPr>
        <w:t>ECT</w:t>
      </w:r>
      <w:r>
        <w:rPr>
          <w:sz w:val="22"/>
        </w:rPr>
        <w:fldChar w:fldCharType="end"/>
      </w:r>
    </w:p>
    <w:p>
      <w:pPr>
        <w:pStyle w:val="Normal"/>
        <w:rPr>
          <w:sz w:val="22"/>
        </w:rPr>
      </w:pPr>
      <w:r>
        <w:rPr>
          <w:sz w:val="22"/>
        </w:rPr>
      </w:r>
    </w:p>
    <w:p>
      <w:pPr>
        <w:pStyle w:val="Normal"/>
        <w:rPr>
          <w:sz w:val="22"/>
        </w:rPr>
      </w:pPr>
      <w:r>
        <w:rPr>
          <w:sz w:val="22"/>
        </w:rPr>
        <w:t>SELLER:</w:t>
        <w:tab/>
        <w:tab/>
        <w:tab/>
        <w:tab/>
      </w:r>
      <w:r>
        <w:rPr>
          <w:sz w:val="22"/>
        </w:rPr>
        <w:fldChar w:fldCharType="begin"/>
      </w:r>
      <w:r>
        <w:rPr>
          <w:sz w:val="22"/>
        </w:rPr>
        <w:instrText xml:space="preserve"> MERGEFIELD FloatPayerWCP </w:instrText>
      </w:r>
      <w:r>
        <w:rPr>
          <w:sz w:val="22"/>
        </w:rPr>
        <w:fldChar w:fldCharType="separate"/>
      </w:r>
      <w:r>
        <w:rPr>
          <w:sz w:val="22"/>
        </w:rPr>
        <w:t>Counterparty</w:t>
      </w:r>
      <w:r>
        <w:rPr>
          <w:sz w:val="22"/>
        </w:rPr>
        <w:fldChar w:fldCharType="end"/>
      </w:r>
    </w:p>
    <w:p>
      <w:pPr>
        <w:pStyle w:val="Normal"/>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3618"/>
        <w:gridCol w:w="5238"/>
      </w:tblGrid>
      <w:tr>
        <w:trPr/>
        <w:tc>
          <w:tcPr>
            <w:tcW w:w="3618" w:type="dxa"/>
            <w:tcBorders/>
          </w:tcPr>
          <w:p>
            <w:pPr>
              <w:pStyle w:val="Normal"/>
              <w:rPr>
                <w:sz w:val="22"/>
              </w:rPr>
            </w:pPr>
            <w:r>
              <w:rPr>
                <w:sz w:val="22"/>
              </w:rPr>
              <w:t>FLOOR PRICE:</w:t>
            </w:r>
          </w:p>
        </w:tc>
        <w:tc>
          <w:tcPr>
            <w:tcW w:w="5238"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$16.00000 per Barrel</w:t>
            </w:r>
            <w:r>
              <w:rPr>
                <w:sz w:val="22"/>
              </w:rPr>
              <w:fldChar w:fldCharType="end"/>
            </w:r>
          </w:p>
        </w:tc>
      </w:tr>
    </w:tbl>
    <w:p>
      <w:pPr>
        <w:pStyle w:val="Normal"/>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3618"/>
        <w:gridCol w:w="5238"/>
        <w:gridCol w:w="612"/>
      </w:tblGrid>
      <w:tr>
        <w:trPr/>
        <w:tc>
          <w:tcPr>
            <w:tcW w:w="3618" w:type="dxa"/>
            <w:tcBorders/>
          </w:tcPr>
          <w:p>
            <w:pPr>
              <w:pStyle w:val="Normal"/>
              <w:rPr>
                <w:sz w:val="22"/>
              </w:rPr>
            </w:pPr>
            <w:r>
              <w:rPr>
                <w:sz w:val="22"/>
              </w:rPr>
              <w:t>FLOATING PRICE:</w:t>
            </w:r>
          </w:p>
        </w:tc>
        <w:tc>
          <w:tcPr>
            <w:tcW w:w="5238" w:type="dxa"/>
            <w:tcBorders/>
          </w:tcPr>
          <w:p>
            <w:pPr>
              <w:pStyle w:val="Normal"/>
              <w:jc w:val="both"/>
              <w:rPr/>
            </w:pPr>
            <w:r>
              <w:rPr>
                <w:sz w:val="22"/>
              </w:rPr>
              <w:fldChar w:fldCharType="begin"/>
            </w:r>
            <w:r>
              <w:rPr>
                <w:sz w:val="22"/>
              </w:rPr>
              <w:instrText xml:space="preserve"> MERGEFIELD FloatPrice </w:instrText>
            </w:r>
            <w:r>
              <w:rPr>
                <w:sz w:val="22"/>
              </w:rPr>
              <w:fldChar w:fldCharType="separate"/>
            </w:r>
            <w:r>
              <w:rPr>
                <w:sz w:val="22"/>
              </w:rPr>
              <w:t>The average of the daily settlement prices for the prompt month of the NYMEX Light Sweet Crude Oil Futures Contract for each NYMEX Trading Day for the applicable Determination Period</w:t>
            </w:r>
            <w:r>
              <w:rPr>
                <w:sz w:val="22"/>
              </w:rPr>
              <w:fldChar w:fldCharType="end"/>
            </w:r>
            <w:r>
              <w:rPr>
                <w:sz w:val="22"/>
              </w:rPr>
              <w:t>.</w:t>
            </w:r>
          </w:p>
        </w:tc>
        <w:tc>
          <w:tcPr>
            <w:tcW w:w="612" w:type="dxa"/>
            <w:tcBorders/>
            <w:tcMar>
              <w:start w:w="0" w:type="dxa"/>
              <w:end w:w="0" w:type="dxa"/>
            </w:tcMar>
          </w:tcPr>
          <w:p>
            <w:pPr>
              <w:pStyle w:val="Normal"/>
              <w:snapToGrid w:val="false"/>
              <w:rPr>
                <w:sz w:val="22"/>
              </w:rPr>
            </w:pPr>
            <w:r>
              <w:rPr>
                <w:sz w:val="22"/>
              </w:rPr>
            </w:r>
          </w:p>
        </w:tc>
      </w:tr>
      <w:tr>
        <w:trPr/>
        <w:tc>
          <w:tcPr>
            <w:tcW w:w="3618" w:type="dxa"/>
            <w:tcBorders/>
          </w:tcPr>
          <w:p>
            <w:pPr>
              <w:pStyle w:val="Normal"/>
              <w:snapToGrid w:val="false"/>
              <w:rPr>
                <w:sz w:val="22"/>
              </w:rPr>
            </w:pPr>
            <w:r>
              <w:rPr>
                <w:sz w:val="22"/>
              </w:rPr>
            </w:r>
          </w:p>
          <w:p>
            <w:pPr>
              <w:pStyle w:val="Normal"/>
              <w:rPr>
                <w:sz w:val="22"/>
              </w:rPr>
            </w:pPr>
            <w:r>
              <w:rPr>
                <w:sz w:val="22"/>
              </w:rPr>
              <w:t>CASH SETTLEMENT AMOUNT:</w:t>
            </w:r>
          </w:p>
        </w:tc>
        <w:tc>
          <w:tcPr>
            <w:tcW w:w="5238" w:type="dxa"/>
            <w:tcBorders/>
          </w:tcPr>
          <w:p>
            <w:pPr>
              <w:pStyle w:val="Normal"/>
              <w:snapToGrid w:val="false"/>
              <w:jc w:val="both"/>
              <w:rPr>
                <w:sz w:val="22"/>
              </w:rPr>
            </w:pPr>
            <w:r>
              <w:rPr>
                <w:sz w:val="22"/>
              </w:rPr>
            </w:r>
          </w:p>
          <w:p>
            <w:pPr>
              <w:pStyle w:val="Normal"/>
              <w:jc w:val="both"/>
              <w:rPr>
                <w:sz w:val="22"/>
              </w:rPr>
            </w:pPr>
            <w:r>
              <w:rPr>
                <w:sz w:val="22"/>
              </w:rPr>
              <w:t>If for any Determination Period the Floating Price is less that the Floor Price, an amount equal to the product of (i) the Notional Quantity per Determination Period multiplied by (ii) the excess of the Floor Price over the Floating Price.  If for any Determination Period the Floor Price is equal to or less than the Floating Price, the no payment shall be due with respect to such Determination Period.</w:t>
            </w:r>
          </w:p>
        </w:tc>
        <w:tc>
          <w:tcPr>
            <w:tcW w:w="612" w:type="dxa"/>
            <w:tcBorders/>
            <w:tcMar>
              <w:start w:w="0" w:type="dxa"/>
              <w:end w:w="0" w:type="dxa"/>
            </w:tcMar>
          </w:tcPr>
          <w:p>
            <w:pPr>
              <w:pStyle w:val="Normal"/>
              <w:snapToGrid w:val="false"/>
              <w:rPr>
                <w:sz w:val="22"/>
              </w:rPr>
            </w:pPr>
            <w:r>
              <w:rPr>
                <w:sz w:val="22"/>
              </w:rPr>
            </w:r>
          </w:p>
        </w:tc>
      </w:tr>
      <w:tr>
        <w:trPr/>
        <w:tc>
          <w:tcPr>
            <w:tcW w:w="3618" w:type="dxa"/>
            <w:tcBorders/>
          </w:tcPr>
          <w:p>
            <w:pPr>
              <w:pStyle w:val="Normal"/>
              <w:snapToGrid w:val="false"/>
              <w:rPr>
                <w:sz w:val="22"/>
              </w:rPr>
            </w:pPr>
            <w:r>
              <w:rPr>
                <w:sz w:val="22"/>
              </w:rPr>
            </w:r>
          </w:p>
        </w:tc>
        <w:tc>
          <w:tcPr>
            <w:tcW w:w="5238" w:type="dxa"/>
            <w:tcBorders/>
          </w:tcPr>
          <w:p>
            <w:pPr>
              <w:pStyle w:val="Normal"/>
              <w:rPr>
                <w:sz w:val="22"/>
              </w:rPr>
            </w:pPr>
            <w:r>
              <w:rPr>
                <w:sz w:val="22"/>
              </w:rPr>
              <w:fldChar w:fldCharType="begin"/>
            </w:r>
            <w:r>
              <w:rPr>
                <w:sz w:val="22"/>
              </w:rPr>
              <w:instrText xml:space="preserve"> MERGEFIELD MasterSettlementAmount </w:instrText>
            </w:r>
            <w:r>
              <w:rPr>
                <w:sz w:val="22"/>
              </w:rPr>
              <w:fldChar w:fldCharType="separate"/>
            </w:r>
            <w:r>
              <w:rPr>
                <w:sz w:val="22"/>
              </w:rPr>
              <w:t xml:space="preserve"> </w:t>
            </w:r>
            <w:r>
              <w:rPr>
                <w:sz w:val="22"/>
              </w:rPr>
              <w:fldChar w:fldCharType="end"/>
            </w:r>
          </w:p>
        </w:tc>
        <w:tc>
          <w:tcPr>
            <w:tcW w:w="612" w:type="dxa"/>
            <w:tcBorders/>
            <w:tcMar>
              <w:start w:w="0" w:type="dxa"/>
              <w:end w:w="0" w:type="dxa"/>
            </w:tcMar>
          </w:tcPr>
          <w:p>
            <w:pPr>
              <w:pStyle w:val="Normal"/>
              <w:snapToGrid w:val="false"/>
              <w:rPr>
                <w:sz w:val="22"/>
              </w:rPr>
            </w:pPr>
            <w:r>
              <w:rPr>
                <w:sz w:val="22"/>
              </w:rPr>
            </w:r>
          </w:p>
        </w:tc>
      </w:tr>
      <w:tr>
        <w:trPr/>
        <w:tc>
          <w:tcPr>
            <w:tcW w:w="9468" w:type="dxa"/>
            <w:gridSpan w:val="3"/>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ind w:end="-720"/>
        <w:rPr>
          <w:sz w:val="22"/>
        </w:rPr>
      </w:pPr>
      <w:r>
        <w:rPr>
          <w:sz w:val="22"/>
        </w:rPr>
      </w:r>
    </w:p>
    <w:p>
      <w:pPr>
        <w:pStyle w:val="Normal"/>
        <w:ind w:end="-720"/>
        <w:jc w:val="both"/>
        <w:rPr>
          <w:sz w:val="22"/>
        </w:rPr>
      </w:pPr>
      <w:r>
        <w:rPr>
          <w:sz w:val="22"/>
        </w:rPr>
        <w:tab/>
        <w:t>Terms used and not otherwise defined in this Confirmation shall have the meanings given them in the Agreement.</w:t>
      </w:r>
    </w:p>
    <w:p>
      <w:pPr>
        <w:pStyle w:val="Normal"/>
        <w:ind w:end="-720"/>
        <w:jc w:val="both"/>
        <w:rPr>
          <w:sz w:val="22"/>
        </w:rPr>
      </w:pPr>
      <w:r>
        <w:rPr>
          <w:sz w:val="22"/>
        </w:rPr>
      </w:r>
    </w:p>
    <w:p>
      <w:pPr>
        <w:pStyle w:val="Normal"/>
        <w:ind w:end="-720"/>
        <w:jc w:val="both"/>
        <w:rPr>
          <w:sz w:val="22"/>
        </w:rPr>
      </w:pPr>
      <w:r>
        <w:rPr>
          <w:sz w:val="22"/>
        </w:rPr>
        <w:tab/>
        <w:t>If this Confirmation correctly sets forth the terms of the above-referenced Transaction, please so indicate by signing below and sending this Confirmation (or a copy hereof) to us.</w:t>
      </w:r>
    </w:p>
    <w:p>
      <w:pPr>
        <w:pStyle w:val="Normal"/>
        <w:ind w:end="-720"/>
        <w:jc w:val="both"/>
        <w:rPr>
          <w:sz w:val="22"/>
        </w:rPr>
      </w:pPr>
      <w:r>
        <w:rPr>
          <w:sz w:val="22"/>
        </w:rPr>
      </w:r>
    </w:p>
    <w:p>
      <w:pPr>
        <w:pStyle w:val="Normal"/>
        <w:ind w:end="-720"/>
        <w:jc w:val="both"/>
        <w:rPr/>
      </w:pPr>
      <w:r>
        <w:rPr>
          <w:sz w:val="22"/>
        </w:rPr>
        <w:tab/>
        <w:t xml:space="preserve">If this Confirmation contains any error, please notify </w:t>
      </w:r>
      <w:r>
        <w:rPr>
          <w:sz w:val="22"/>
        </w:rPr>
        <w:fldChar w:fldCharType="begin"/>
      </w:r>
      <w:r>
        <w:rPr>
          <w:sz w:val="22"/>
        </w:rPr>
        <w:instrText xml:space="preserve"> MERGEFIELD EnronEntityCode </w:instrText>
      </w:r>
      <w:r>
        <w:rPr>
          <w:sz w:val="22"/>
        </w:rPr>
        <w:fldChar w:fldCharType="separate"/>
      </w:r>
      <w:r>
        <w:rPr>
          <w:sz w:val="22"/>
        </w:rPr>
        <w:t>ECT</w:t>
      </w:r>
      <w:r>
        <w:rPr>
          <w:sz w:val="22"/>
        </w:rPr>
        <w:fldChar w:fldCharType="end"/>
      </w:r>
      <w:r>
        <w:rPr>
          <w:sz w:val="22"/>
        </w:rPr>
        <w:t xml:space="preserve"> immediately. Failure to notify </w:t>
      </w:r>
      <w:r>
        <w:rPr>
          <w:sz w:val="22"/>
        </w:rPr>
        <w:fldChar w:fldCharType="begin"/>
      </w:r>
      <w:r>
        <w:rPr>
          <w:sz w:val="22"/>
        </w:rPr>
        <w:instrText xml:space="preserve"> MERGEFIELD EnronEntityCode </w:instrText>
      </w:r>
      <w:r>
        <w:rPr>
          <w:sz w:val="22"/>
        </w:rPr>
        <w:fldChar w:fldCharType="separate"/>
      </w:r>
      <w:r>
        <w:rPr>
          <w:sz w:val="22"/>
        </w:rPr>
        <w:t>ECT</w:t>
      </w:r>
      <w:r>
        <w:rPr>
          <w:sz w:val="22"/>
        </w:rPr>
        <w:fldChar w:fldCharType="end"/>
      </w:r>
      <w:r>
        <w:rPr>
          <w:sz w:val="22"/>
        </w:rPr>
        <w:t xml:space="preserve"> of a bona fide error in this Confirmation or failure to accept this Confirmation as provided in Section 1 of the Agreement after receipt by Counterparty shall result in this Confirmation being deemed binding as sent.</w:t>
      </w:r>
    </w:p>
    <w:p>
      <w:pPr>
        <w:pStyle w:val="Normal"/>
        <w:rPr>
          <w:sz w:val="22"/>
        </w:rPr>
      </w:pPr>
      <w:r>
        <w:rPr>
          <w:sz w:val="22"/>
        </w:rPr>
      </w:r>
    </w:p>
    <w:p>
      <w:pPr>
        <w:pStyle w:val="Normal"/>
        <w:ind w:end="-720"/>
        <w:rPr>
          <w:sz w:val="22"/>
        </w:rPr>
      </w:pPr>
      <w:r>
        <w:rPr>
          <w:sz w:val="22"/>
        </w:rPr>
        <w:tab/>
        <w:t>We look forward to receiving your prompt reply.</w:t>
      </w:r>
    </w:p>
    <w:p>
      <w:pPr>
        <w:pStyle w:val="Normal"/>
        <w:ind w:end="-720"/>
        <w:rPr>
          <w:sz w:val="22"/>
        </w:rPr>
      </w:pPr>
      <w:r>
        <w:rPr>
          <w:sz w:val="22"/>
        </w:rPr>
      </w:r>
    </w:p>
    <w:p>
      <w:pPr>
        <w:pStyle w:val="Normal"/>
        <w:ind w:end="-720"/>
        <w:rPr>
          <w:sz w:val="22"/>
        </w:rPr>
      </w:pPr>
      <w:r>
        <w:rPr>
          <w:sz w:val="22"/>
        </w:rPr>
        <w:tab/>
        <w:t>Confirmed as of date above written.</w:t>
      </w:r>
    </w:p>
    <w:p>
      <w:pPr>
        <w:pStyle w:val="Normal"/>
        <w:ind w:end="-720"/>
        <w:rPr>
          <w:sz w:val="22"/>
        </w:rPr>
      </w:pPr>
      <w:r>
        <w:rPr>
          <w:sz w:val="22"/>
        </w:rPr>
      </w:r>
    </w:p>
    <w:tbl>
      <w:tblPr>
        <w:tblW w:w="9378" w:type="dxa"/>
        <w:jc w:val="start"/>
        <w:tblInd w:w="0" w:type="dxa"/>
        <w:tblLayout w:type="fixed"/>
        <w:tblCellMar>
          <w:top w:w="0" w:type="dxa"/>
          <w:start w:w="108" w:type="dxa"/>
          <w:bottom w:w="0" w:type="dxa"/>
          <w:end w:w="108" w:type="dxa"/>
        </w:tblCellMar>
      </w:tblPr>
      <w:tblGrid>
        <w:gridCol w:w="4518"/>
        <w:gridCol w:w="4860"/>
      </w:tblGrid>
      <w:tr>
        <w:trPr/>
        <w:tc>
          <w:tcPr>
            <w:tcW w:w="4518"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Encore Acquisition Partners, Inc</w:t>
            </w:r>
            <w:r>
              <w:rPr>
                <w:sz w:val="22"/>
              </w:rPr>
              <w:fldChar w:fldCharType="end"/>
            </w:r>
          </w:p>
        </w:tc>
        <w:tc>
          <w:tcPr>
            <w:tcW w:w="4860" w:type="dxa"/>
            <w:tcBorders/>
          </w:tcPr>
          <w:p>
            <w:pPr>
              <w:pStyle w:val="Normal"/>
              <w:tabs>
                <w:tab w:val="clear" w:pos="720"/>
                <w:tab w:val="left" w:pos="4752" w:leader="none"/>
              </w:tabs>
              <w:ind w:end="-720"/>
              <w:rPr>
                <w:sz w:val="22"/>
              </w:rPr>
            </w:pPr>
            <w:r>
              <w:rPr>
                <w:sz w:val="22"/>
              </w:rPr>
              <w:fldChar w:fldCharType="begin"/>
            </w:r>
            <w:r>
              <w:rPr>
                <w:sz w:val="22"/>
              </w:rPr>
              <w:instrText xml:space="preserve"> MERGEFIELD EnronEntityName </w:instrText>
            </w:r>
            <w:r>
              <w:rPr>
                <w:sz w:val="22"/>
              </w:rPr>
              <w:fldChar w:fldCharType="separate"/>
            </w:r>
            <w:r>
              <w:rPr>
                <w:sz w:val="22"/>
              </w:rPr>
              <w:t>Enron Capital &amp; Trade Resources Corp.</w:t>
            </w:r>
            <w:r>
              <w:rPr>
                <w:sz w:val="22"/>
              </w:rPr>
              <w:fldChar w:fldCharType="end"/>
            </w:r>
          </w:p>
        </w:tc>
      </w:tr>
    </w:tbl>
    <w:p>
      <w:pPr>
        <w:pStyle w:val="Normal"/>
        <w:ind w:end="-720"/>
        <w:rPr>
          <w:sz w:val="22"/>
        </w:rPr>
      </w:pPr>
      <w:r>
        <w:rPr>
          <w:sz w:val="22"/>
        </w:rPr>
      </w:r>
    </w:p>
    <w:p>
      <w:pPr>
        <w:pStyle w:val="Normal"/>
        <w:ind w:end="-720"/>
        <w:rPr>
          <w:sz w:val="22"/>
        </w:rPr>
      </w:pPr>
      <w:r>
        <w:rPr>
          <w:sz w:val="22"/>
        </w:rPr>
        <w:t>By:  ___________________________</w:t>
        <w:tab/>
        <w:tab/>
        <w:t xml:space="preserve">    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ind w:end="-720"/>
        <w:rPr>
          <w:sz w:val="22"/>
        </w:rPr>
      </w:pPr>
      <w:r>
        <w:rPr>
          <w:sz w:val="22"/>
        </w:rPr>
        <w:t>Name:  ________________________</w:t>
        <w:tab/>
        <w:tab/>
        <w:t xml:space="preserve">    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ind w:end="-720"/>
        <w:rPr>
          <w:sz w:val="22"/>
        </w:rPr>
      </w:pPr>
      <w:r>
        <w:rPr>
          <w:sz w:val="22"/>
        </w:rPr>
        <w:t>Title:  _________________________</w:t>
        <w:tab/>
        <w:tab/>
        <w:t xml:space="preserve">   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p>
      <w:pPr>
        <w:pStyle w:val="Normal"/>
        <w:rPr>
          <w:sz w:val="22"/>
        </w:rPr>
      </w:pPr>
      <w:r>
        <w:rPr>
          <w:sz w:val="22"/>
        </w:rPr>
      </w:r>
    </w:p>
    <w:sectPr>
      <w:headerReference w:type="default" r:id="rId3"/>
      <w:headerReference w:type="first" r:id="rId4"/>
      <w:type w:val="nextPage"/>
      <w:pgSz w:w="12240" w:h="15840"/>
      <w:pgMar w:left="1354" w:right="2246"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Deal No. </w:t>
    </w:r>
    <w:r>
      <w:rPr/>
      <w:fldChar w:fldCharType="begin"/>
    </w:r>
    <w:r>
      <w:rPr/>
      <w:instrText xml:space="preserve"> TITLE </w:instrText>
    </w:r>
    <w:r>
      <w:rPr/>
      <w:fldChar w:fldCharType="separate"/>
    </w:r>
    <w:r>
      <w:rPr/>
      <w:t>EY9632.1</w:t>
    </w:r>
    <w:r>
      <w:rPr/>
      <w:fldChar w:fldCharType="end"/>
    </w:r>
    <w:r>
      <w:rPr/>
      <w:t>, .2, .3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cap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1999-07-20T17:59:00Z</dcterms:created>
  <dc:creator>ECT</dc:creator>
  <dc:description/>
  <dc:language>en-CA</dc:language>
  <cp:lastModifiedBy>mlozano</cp:lastModifiedBy>
  <dcterms:modified xsi:type="dcterms:W3CDTF">1999-07-20T17:59:00Z</dcterms:modified>
  <cp:revision>2</cp:revision>
  <dc:subject>Encore Acquisition Partners, Inc</dc:subject>
  <dc:title>EY9632.1</dc:title>
</cp:coreProperties>
</file>