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u w:val="single"/>
        </w:rPr>
      </w:pPr>
      <w:r>
        <w:rPr>
          <w:u w:val="single"/>
        </w:rPr>
        <w:t>DRAFT</w:t>
      </w:r>
    </w:p>
    <w:p>
      <w:pPr>
        <w:pStyle w:val="Normal"/>
        <w:jc w:val="center"/>
        <w:rPr>
          <w:u w:val="single"/>
        </w:rPr>
      </w:pPr>
      <w:r>
        <w:rPr>
          <w:u w:val="single"/>
        </w:rPr>
      </w:r>
    </w:p>
    <w:p>
      <w:pPr>
        <w:pStyle w:val="HeadingLeft"/>
        <w:numPr>
          <w:ilvl w:val="0"/>
          <w:numId w:val="5"/>
        </w:numPr>
        <w:rPr/>
      </w:pPr>
      <w:r>
        <w:rPr>
          <w:u w:val="single"/>
        </w:rPr>
        <w:t>Commodity Exchange Act</w:t>
      </w:r>
    </w:p>
    <w:p>
      <w:pPr>
        <w:pStyle w:val="Normal"/>
        <w:jc w:val="both"/>
        <w:rPr/>
      </w:pPr>
      <w:r>
        <w:rPr/>
      </w:r>
    </w:p>
    <w:p>
      <w:pPr>
        <w:pStyle w:val="BodyMain"/>
        <w:spacing w:lineRule="exact" w:line="540"/>
        <w:ind w:firstLine="1440" w:end="0"/>
        <w:rPr/>
      </w:pPr>
      <w:r>
        <w:rPr/>
        <w:t>Under the recent amendments to the CEA, a bilateral agreement, contract or transaction in an excluded commodity that is (i) entered into between eligible contract participants, as defined, and (ii) not executed or traded on a trading facility, as defined, is generally not subject to the CEA.</w:t>
      </w:r>
    </w:p>
    <w:p>
      <w:pPr>
        <w:pStyle w:val="BodyMain"/>
        <w:spacing w:lineRule="exact" w:line="540"/>
        <w:ind w:firstLine="1440" w:end="0"/>
        <w:rPr/>
      </w:pPr>
      <w:r>
        <w:rPr/>
        <w:t>While we need to know more about the nature of the variable which will be used to measure the level of box office receipts, we believe that this variable should qualify as an “excluded commodity” for this purpose.  We have previously concluded that Enron Online is not a “trading facility” as defined.  Thus, we believe that these transactions should not be subject to regulation under the CEA.</w:t>
      </w:r>
    </w:p>
    <w:p>
      <w:pPr>
        <w:pStyle w:val="HeadingLeft"/>
        <w:numPr>
          <w:ilvl w:val="0"/>
          <w:numId w:val="4"/>
        </w:numPr>
        <w:rPr/>
      </w:pPr>
      <w:r>
        <w:rPr>
          <w:u w:val="single"/>
        </w:rPr>
        <w:t>Federal Securities Laws</w:t>
      </w:r>
    </w:p>
    <w:p>
      <w:pPr>
        <w:pStyle w:val="BodyMain"/>
        <w:spacing w:lineRule="exact" w:line="540"/>
        <w:ind w:firstLine="1440" w:end="0"/>
        <w:rPr/>
      </w:pPr>
      <w:r>
        <w:rPr/>
        <w:t>Under the recent amendments to the federal securities laws, a “swap agreement” as defined is not a “security” as defined under the federal securities laws.  In this regard, the term “swap agreement” is defined to mean “any agreement, contract or transaction between ‘eligible contract participants’ as defined  . . . the material terms of which (other than price and quantity) are subject to individual negotiation” and that is described in subsequent paragraphs of the definition.</w:t>
      </w:r>
    </w:p>
    <w:p>
      <w:pPr>
        <w:pStyle w:val="BodyMain"/>
        <w:spacing w:lineRule="exact" w:line="540"/>
        <w:ind w:firstLine="1440" w:end="0"/>
        <w:rPr/>
      </w:pPr>
      <w:r>
        <w:rPr/>
        <w:t>Among other things, the definition includes (i) options based on the value of an index, quantitative measure, or other financial or economic interest of any kind and (ii) transactions that provide on an executory basis for the exchange of one or more payments based on the value or level of an index, quantitative measure or other financial or economic interest and transfer, as between parties to the transaction, the financial risk associated with a future change in any such value or level without also conveying an ownership interest in any underlying asset or liability that incorporates the financial risk so transferred.  Certain products which have been deemed to be securities such as options on securities and forward contracts on securities are expressly excluded from the swap agreement definition.</w:t>
      </w:r>
    </w:p>
    <w:p>
      <w:pPr>
        <w:pStyle w:val="BodyMain"/>
        <w:spacing w:lineRule="exact" w:line="540"/>
        <w:ind w:firstLine="1440" w:end="0"/>
        <w:rPr/>
      </w:pPr>
      <w:r>
        <w:rPr/>
        <w:t>Based upon the foregoing definition, we believe that these derivatives should not be deemed to be securities under the federal securities laws.</w:t>
      </w:r>
    </w:p>
    <w:p>
      <w:pPr>
        <w:pStyle w:val="HeadingLeft"/>
        <w:numPr>
          <w:ilvl w:val="0"/>
          <w:numId w:val="4"/>
        </w:numPr>
        <w:rPr/>
      </w:pPr>
      <w:r>
        <w:rPr>
          <w:u w:val="single"/>
        </w:rPr>
        <w:t>State Antigambling and Antibucketshop Laws</w:t>
      </w:r>
    </w:p>
    <w:p>
      <w:pPr>
        <w:pStyle w:val="BodyMain"/>
        <w:spacing w:lineRule="exact" w:line="540"/>
        <w:ind w:firstLine="1440" w:end="0"/>
        <w:rPr/>
      </w:pPr>
      <w:r>
        <w:rPr/>
        <w:t>Section 12(e)(2) of the CEA preempts the potential applicability of state antigambling and antibucketshop laws to a wide range of transactions which are excluded or exempted from the CEA, including bilateral transactions in an excluded commodity, regardless of whether the transaction is otherwise subject to the CEA.  Thus, these transactions should not be subject to state antigambling or state antibucketshop laws.</w:t>
      </w:r>
    </w:p>
    <w:p>
      <w:pPr>
        <w:pStyle w:val="HeadingLeft"/>
        <w:numPr>
          <w:ilvl w:val="0"/>
          <w:numId w:val="4"/>
        </w:numPr>
        <w:rPr/>
      </w:pPr>
      <w:r>
        <w:rPr>
          <w:u w:val="single"/>
        </w:rPr>
        <w:t>State Insurance Laws</w:t>
      </w:r>
    </w:p>
    <w:p>
      <w:pPr>
        <w:pStyle w:val="BodyMain"/>
        <w:spacing w:lineRule="exact" w:line="540"/>
        <w:ind w:firstLine="1440" w:end="0"/>
        <w:rPr/>
      </w:pPr>
      <w:r>
        <w:rPr/>
        <w:t>The regulation of insurance contracts is based upon the insurance laws of the fifty states.  Although we have not done extensive research or consulted with the New York Insurance Department, we believe that these derivatives are not likely to be characterized as insurance contracts under New York law.</w:t>
      </w:r>
    </w:p>
    <w:p>
      <w:pPr>
        <w:pStyle w:val="BodyMain"/>
        <w:spacing w:lineRule="exact" w:line="540"/>
        <w:ind w:firstLine="1440" w:end="0"/>
        <w:rPr/>
      </w:pPr>
      <w:r>
        <w:rPr/>
        <w:t>The industry has relied upon certain differences between traditional insurance contracts and over-the-counter derivatives to distinguish derivatives from insurance.  First, unlike insurance, derivatives are offered and sold to counterparties, whether or not a counterparty has a risk of loss related to the underlying variable on the trade date or in the future.  Second, derivatives provide for payment to the counterparty without regard to whether the counterparty has suffered any loss and if so, the amount of such loss.  Third, exotic derivatives such as weather derivatives do not closely resemble traditional insurance policies.  Assuming that, as we believe, these derivatives would not be insurance contracts within the meaning of New York law, the offer or sale of these derivatives would not constitute the “doing of an insurance business” under New York law.</w:t>
      </w:r>
    </w:p>
    <w:p>
      <w:pPr>
        <w:pStyle w:val="BodyMain"/>
        <w:spacing w:lineRule="exact" w:line="540"/>
        <w:ind w:firstLine="1440" w:end="0"/>
        <w:rPr/>
      </w:pPr>
      <w:r>
        <w:rPr/>
        <w:t>While we have not conducted a multistate survey and we are not admitted to practice in other jurisdictions, based upon our experience in this area, we believe that other states are likely to adopt a similar approach under their insurance laws in addressing the status of these derivatives.</w:t>
      </w:r>
    </w:p>
    <w:p>
      <w:pPr>
        <w:pStyle w:val="HeadingLeft"/>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Long"</w:instrText>
    </w:r>
    <w:r>
      <w:rPr>
        <w:sz w:val="16"/>
      </w:rPr>
      <w:fldChar w:fldCharType="separate"/>
    </w:r>
    <w:r>
      <w:rPr>
        <w:sz w:val="16"/>
      </w:rPr>
      <w:t>CWT\NYLIB1\599647.1</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numPr>
        <w:ilvl w:val="0"/>
        <w:numId w:val="1"/>
      </w:numPr>
      <w:spacing w:before="240" w:after="0"/>
      <w:jc w:val="both"/>
      <w:outlineLvl w:val="0"/>
    </w:pPr>
    <w:rPr>
      <w:lang w:eastAsia="en-US"/>
    </w:rPr>
  </w:style>
  <w:style w:type="paragraph" w:styleId="Heading2">
    <w:name w:val="heading 2"/>
    <w:basedOn w:val="Normal"/>
    <w:next w:val="BodyText"/>
    <w:qFormat/>
    <w:pPr>
      <w:numPr>
        <w:ilvl w:val="1"/>
        <w:numId w:val="1"/>
      </w:numPr>
      <w:spacing w:before="240" w:after="0"/>
      <w:jc w:val="both"/>
      <w:outlineLvl w:val="1"/>
    </w:pPr>
    <w:rPr>
      <w:lang w:eastAsia="en-US"/>
    </w:rPr>
  </w:style>
  <w:style w:type="paragraph" w:styleId="Heading3">
    <w:name w:val="heading 3"/>
    <w:basedOn w:val="Normal"/>
    <w:next w:val="BodyText"/>
    <w:qFormat/>
    <w:pPr>
      <w:numPr>
        <w:ilvl w:val="2"/>
        <w:numId w:val="1"/>
      </w:numPr>
      <w:spacing w:before="240" w:after="0"/>
      <w:jc w:val="both"/>
      <w:outlineLvl w:val="2"/>
    </w:pPr>
    <w:rPr>
      <w:lang w:eastAsia="en-US"/>
    </w:rPr>
  </w:style>
  <w:style w:type="paragraph" w:styleId="Heading4">
    <w:name w:val="heading 4"/>
    <w:basedOn w:val="Normal"/>
    <w:next w:val="BodyText"/>
    <w:qFormat/>
    <w:pPr>
      <w:numPr>
        <w:ilvl w:val="3"/>
        <w:numId w:val="1"/>
      </w:numPr>
      <w:spacing w:before="240" w:after="0"/>
      <w:jc w:val="both"/>
      <w:outlineLvl w:val="3"/>
    </w:pPr>
    <w:rPr>
      <w:lang w:eastAsia="en-US"/>
    </w:rPr>
  </w:style>
  <w:style w:type="paragraph" w:styleId="Heading5">
    <w:name w:val="heading 5"/>
    <w:basedOn w:val="Normal"/>
    <w:next w:val="BodyText"/>
    <w:qFormat/>
    <w:pPr>
      <w:numPr>
        <w:ilvl w:val="4"/>
        <w:numId w:val="1"/>
      </w:numPr>
      <w:spacing w:before="240" w:after="0"/>
      <w:jc w:val="both"/>
      <w:outlineLvl w:val="4"/>
    </w:pPr>
    <w:rPr>
      <w:lang w:eastAsia="en-US"/>
    </w:rPr>
  </w:style>
  <w:style w:type="paragraph" w:styleId="Heading6">
    <w:name w:val="heading 6"/>
    <w:basedOn w:val="Normal"/>
    <w:next w:val="BodyText"/>
    <w:qFormat/>
    <w:pPr>
      <w:numPr>
        <w:ilvl w:val="5"/>
        <w:numId w:val="1"/>
      </w:numPr>
      <w:spacing w:before="240" w:after="0"/>
      <w:jc w:val="both"/>
      <w:outlineLvl w:val="5"/>
    </w:pPr>
    <w:rPr>
      <w:lang w:eastAsia="en-US"/>
    </w:rPr>
  </w:style>
  <w:style w:type="paragraph" w:styleId="Heading7">
    <w:name w:val="heading 7"/>
    <w:basedOn w:val="Normal"/>
    <w:next w:val="BodyText"/>
    <w:qFormat/>
    <w:pPr>
      <w:numPr>
        <w:ilvl w:val="6"/>
        <w:numId w:val="1"/>
      </w:numPr>
      <w:spacing w:before="240" w:after="0"/>
      <w:jc w:val="both"/>
      <w:outlineLvl w:val="6"/>
    </w:pPr>
    <w:rPr>
      <w:lang w:eastAsia="en-US"/>
    </w:rPr>
  </w:style>
  <w:style w:type="paragraph" w:styleId="Heading8">
    <w:name w:val="heading 8"/>
    <w:basedOn w:val="Normal"/>
    <w:next w:val="BodyText"/>
    <w:qFormat/>
    <w:pPr>
      <w:numPr>
        <w:ilvl w:val="7"/>
        <w:numId w:val="1"/>
      </w:numPr>
      <w:spacing w:before="240" w:after="0"/>
      <w:jc w:val="both"/>
      <w:outlineLvl w:val="7"/>
    </w:pPr>
    <w:rPr>
      <w:lang w:eastAsia="en-US"/>
    </w:rPr>
  </w:style>
  <w:style w:type="paragraph" w:styleId="Heading9">
    <w:name w:val="heading 9"/>
    <w:basedOn w:val="Normal"/>
    <w:next w:val="BodyText"/>
    <w:qFormat/>
    <w:pPr>
      <w:numPr>
        <w:ilvl w:val="8"/>
        <w:numId w:val="1"/>
      </w:numPr>
      <w:spacing w:before="240" w:after="0"/>
      <w:jc w:val="both"/>
      <w:outlineLvl w:val="8"/>
    </w:pPr>
    <w:rPr>
      <w:lang w:eastAsia="en-US"/>
    </w:rPr>
  </w:style>
  <w:style w:type="character" w:styleId="WW8Num3z0">
    <w:name w:val="WW8Num3z0"/>
    <w:qFormat/>
    <w:rPr>
      <w:rFonts w:ascii="Times New Roman" w:hAnsi="Times New Roman" w:cs="Times New Roman"/>
      <w:b w:val="false"/>
      <w:i w:val="false"/>
      <w:sz w:val="24"/>
    </w:rPr>
  </w:style>
  <w:style w:type="character" w:styleId="WW8Num3z1">
    <w:name w:val="WW8Num3z1"/>
    <w:qFormat/>
    <w:rPr>
      <w:rFonts w:ascii="Times New Roman" w:hAnsi="Times New Roman" w:cs="Times New Roman"/>
      <w:b w:val="false"/>
      <w:i w:val="false"/>
      <w:sz w:val="24"/>
      <w:u w:val="none"/>
    </w:rPr>
  </w:style>
  <w:style w:type="character" w:styleId="WW8Num4z0">
    <w:name w:val="WW8Num4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jc w:val="both"/>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lang w:eastAsia="en-US"/>
    </w:rPr>
  </w:style>
  <w:style w:type="paragraph" w:styleId="FootnoteText">
    <w:name w:val="footnote text"/>
    <w:basedOn w:val="Normal"/>
    <w:pPr>
      <w:tabs>
        <w:tab w:val="clear" w:pos="720"/>
        <w:tab w:val="left" w:pos="360" w:leader="none"/>
      </w:tabs>
      <w:spacing w:before="120" w:after="0"/>
      <w:jc w:val="both"/>
    </w:pPr>
    <w:rPr>
      <w:sz w:val="22"/>
      <w:lang w:eastAsia="en-US"/>
    </w:rPr>
  </w:style>
  <w:style w:type="paragraph" w:styleId="Header">
    <w:name w:val="header"/>
    <w:basedOn w:val="Normal"/>
    <w:pPr>
      <w:tabs>
        <w:tab w:val="clear" w:pos="720"/>
        <w:tab w:val="center" w:pos="4680" w:leader="none"/>
        <w:tab w:val="right" w:pos="9360" w:leader="none"/>
      </w:tabs>
    </w:pPr>
    <w:rPr>
      <w:lang w:eastAsia="en-US"/>
    </w:rPr>
  </w:style>
  <w:style w:type="paragraph" w:styleId="HeadingCtr">
    <w:name w:val="Heading Ctr"/>
    <w:basedOn w:val="Normal"/>
    <w:qFormat/>
    <w:pPr>
      <w:keepNext w:val="true"/>
      <w:keepLines/>
      <w:spacing w:before="240" w:after="0"/>
      <w:jc w:val="center"/>
    </w:pPr>
    <w:rPr>
      <w:lang w:eastAsia="en-US"/>
    </w:rPr>
  </w:style>
  <w:style w:type="paragraph" w:styleId="HeadingLeft">
    <w:name w:val="Heading Left"/>
    <w:basedOn w:val="Normal"/>
    <w:qFormat/>
    <w:pPr>
      <w:keepNext w:val="true"/>
      <w:keepLines/>
      <w:spacing w:before="240" w:after="0"/>
    </w:pPr>
    <w:rPr>
      <w:lang w:eastAsia="en-US"/>
    </w:rPr>
  </w:style>
  <w:style w:type="paragraph" w:styleId="HeadingRgt">
    <w:name w:val="Heading Rgt"/>
    <w:basedOn w:val="Normal"/>
    <w:qFormat/>
    <w:pPr>
      <w:keepNext w:val="true"/>
      <w:keepLines/>
      <w:spacing w:before="240" w:after="0"/>
      <w:jc w:val="end"/>
    </w:pPr>
    <w:rPr>
      <w:lang w:eastAsia="en-US"/>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lang w:eastAsia="en-CA"/>
    </w:rPr>
  </w:style>
  <w:style w:type="paragraph" w:styleId="TableData">
    <w:name w:val="Table Data"/>
    <w:basedOn w:val="Normal"/>
    <w:qFormat/>
    <w:pPr>
      <w:tabs>
        <w:tab w:val="clear" w:pos="720"/>
        <w:tab w:val="decimal" w:pos="612" w:leader="none"/>
      </w:tabs>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lang w:eastAsia="en-CA"/>
    </w:rPr>
  </w:style>
  <w:style w:type="paragraph" w:styleId="TableItem">
    <w:name w:val="Table Item"/>
    <w:basedOn w:val="Normal"/>
    <w:qFormat/>
    <w:pPr>
      <w:tabs>
        <w:tab w:val="clear" w:pos="720"/>
        <w:tab w:val="left" w:pos="2880" w:leader="dot"/>
      </w:tabs>
      <w:ind w:hanging="180" w:start="180" w:end="432"/>
    </w:pPr>
    <w:rPr>
      <w:lang w:eastAsia="en-CA"/>
    </w:rPr>
  </w:style>
  <w:style w:type="paragraph" w:styleId="BulletPoint">
    <w:name w:val="Bullet Point"/>
    <w:basedOn w:val="Normal"/>
    <w:qFormat/>
    <w:pPr>
      <w:numPr>
        <w:ilvl w:val="0"/>
        <w:numId w:val="3"/>
      </w:numPr>
      <w:tabs>
        <w:tab w:val="clear" w:pos="720"/>
        <w:tab w:val="left" w:pos="1440" w:leader="none"/>
      </w:tabs>
      <w:spacing w:before="240" w:after="0"/>
      <w:ind w:hanging="0" w:start="1440" w:end="0"/>
      <w:jc w:val="both"/>
    </w:pPr>
    <w:rPr/>
  </w:style>
  <w:style w:type="paragraph" w:styleId="ListItem">
    <w:name w:val="List Item"/>
    <w:basedOn w:val="Normal"/>
    <w:qFormat/>
    <w:pPr>
      <w:numPr>
        <w:ilvl w:val="0"/>
        <w:numId w:val="2"/>
      </w:numPr>
      <w:spacing w:before="240" w:after="0"/>
      <w:jc w:val="both"/>
    </w:pPr>
    <w:rPr>
      <w:lang w:eastAsia="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2001-09-28T13:29:00Z</dcterms:created>
  <dc:creator>MRutella</dc:creator>
  <dc:description/>
  <dc:language>en-CA</dc:language>
  <cp:lastModifiedBy>MRutella</cp:lastModifiedBy>
  <cp:lastPrinted>2001-09-28T11:55:00Z</cp:lastPrinted>
  <dcterms:modified xsi:type="dcterms:W3CDTF">2001-09-28T13:29:00Z</dcterms:modified>
  <cp:revision>2</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CWT\NYLIB1\599647.1</vt:lpwstr>
  </property>
  <property fmtid="{D5CDD505-2E9C-101B-9397-08002B2CF9AE}" pid="4" name="PCDOCS ID Short">
    <vt:lpwstr>599647.1</vt:lpwstr>
  </property>
</Properties>
</file>