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7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7"/>
        <w:gridCol w:w="4522"/>
        <w:gridCol w:w="3384"/>
      </w:tblGrid>
      <w:tr>
        <w:trPr>
          <w:trHeight w:val="2600" w:hRule="atLeast"/>
        </w:trPr>
        <w:tc>
          <w:tcPr>
            <w:tcW w:w="3067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LeftSide"/>
              <w:widowControl/>
              <w:snapToGrid w:val="false"/>
              <w:spacing w:before="1200" w:after="0"/>
              <w:rPr>
                <w:rFonts w:ascii="Century Gothic" w:hAnsi="Century Gothic" w:eastAsia="Century Gothic" w:cs="Century Gothic"/>
                <w:spacing w:val="-2"/>
              </w:rPr>
            </w:pPr>
            <w:r>
              <w:rPr>
                <w:rFonts w:eastAsia="Century Gothic" w:cs="Century Gothic" w:ascii="Century Gothic" w:hAnsi="Century Gothic"/>
                <w:spacing w:val="-2"/>
              </w:rPr>
            </w:r>
          </w:p>
        </w:tc>
        <w:tc>
          <w:tcPr>
            <w:tcW w:w="4522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  <w:position w:val="-40"/>
                <w:sz w:val="32"/>
                <w:szCs w:val="32"/>
              </w:rPr>
            </w:pPr>
            <w:r>
              <w:rPr>
                <w:spacing w:val="40"/>
                <w:sz w:val="14"/>
                <w:szCs w:val="14"/>
              </w:rPr>
              <w:t>LAW OFFICES OF</w:t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  <w:position w:val="-40"/>
                <w:sz w:val="32"/>
                <w:szCs w:val="32"/>
              </w:rPr>
            </w:pPr>
            <w:r>
              <w:rPr>
                <w:b/>
                <w:bCs/>
                <w:position w:val="-40"/>
                <w:sz w:val="32"/>
                <w:szCs w:val="32"/>
              </w:rPr>
              <w:t>Daniel W. Douglass</w:t>
            </w:r>
          </w:p>
          <w:p>
            <w:pPr>
              <w:pStyle w:val="Normal"/>
              <w:suppressAutoHyphens w:val="true"/>
              <w:jc w:val="center"/>
              <w:rPr>
                <w:spacing w:val="40"/>
                <w:sz w:val="14"/>
                <w:szCs w:val="14"/>
              </w:rPr>
            </w:pPr>
            <w:r>
              <w:rPr>
                <w:spacing w:val="40"/>
                <w:sz w:val="14"/>
                <w:szCs w:val="14"/>
              </w:rPr>
              <w:t>ATTORNEY AT LAW</w:t>
            </w:r>
          </w:p>
          <w:p>
            <w:pPr>
              <w:pStyle w:val="zLtrAddr"/>
              <w:widowControl/>
              <w:rPr/>
            </w:pPr>
            <w:r>
              <w:rPr/>
              <w:t>5959 Topanga Canyon Boulevard</w:t>
            </w:r>
          </w:p>
          <w:p>
            <w:pPr>
              <w:pStyle w:val="zLtrAddr"/>
              <w:widowControl/>
              <w:rPr/>
            </w:pPr>
            <w:r>
              <w:rPr/>
              <w:t>Suite 244</w:t>
            </w:r>
          </w:p>
          <w:p>
            <w:pPr>
              <w:pStyle w:val="zLtrAddr"/>
              <w:widowControl/>
              <w:rPr/>
            </w:pPr>
            <w:r>
              <w:rPr/>
              <w:t>Woodland Hills, California 91367-7313</w:t>
            </w:r>
          </w:p>
          <w:p>
            <w:pPr>
              <w:pStyle w:val="zLtrAddr"/>
              <w:widowControl/>
              <w:rPr/>
            </w:pPr>
            <w:r>
              <w:rPr>
                <w:i/>
                <w:iCs/>
                <w:position w:val="-16"/>
              </w:rPr>
              <w:t>telephone</w:t>
            </w:r>
            <w:r>
              <w:rPr>
                <w:position w:val="-16"/>
              </w:rPr>
              <w:t xml:space="preserve"> 818.596.2201</w:t>
            </w:r>
          </w:p>
          <w:p>
            <w:pPr>
              <w:pStyle w:val="zLtrAddr"/>
              <w:widowControl/>
              <w:rPr/>
            </w:pPr>
            <w:r>
              <w:rPr>
                <w:i/>
                <w:iCs/>
                <w:position w:val="-16"/>
              </w:rPr>
              <w:t>facsimile</w:t>
            </w:r>
            <w:r>
              <w:rPr>
                <w:position w:val="-16"/>
              </w:rPr>
              <w:t xml:space="preserve"> 818.346.6502</w:t>
            </w:r>
          </w:p>
          <w:p>
            <w:pPr>
              <w:pStyle w:val="Normal"/>
              <w:suppressAutoHyphens w:val="true"/>
              <w:spacing w:before="360" w:after="0"/>
              <w:jc w:val="center"/>
              <w:rPr>
                <w:spacing w:val="-2"/>
              </w:rPr>
            </w:pPr>
            <w:r>
              <w:rPr>
                <w:spacing w:val="-2"/>
              </w:rPr>
              <w:br/>
              <w:t>December 21, 2001</w:t>
            </w:r>
          </w:p>
        </w:tc>
        <w:tc>
          <w:tcPr>
            <w:tcW w:w="3384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uppressAutoHyphens w:val="true"/>
              <w:snapToGrid w:val="false"/>
              <w:spacing w:before="200" w:after="0"/>
              <w:jc w:val="end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before="200" w:after="0"/>
              <w:jc w:val="e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Direct Dial: (818) 596-2201</w:t>
              <w:br/>
              <w:t>Email: douglass@energyattorney.com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Statement of Services</w:t>
      </w:r>
      <w:r>
        <w:rPr>
          <w:b/>
          <w:bCs/>
        </w:rPr>
        <w:tab/>
        <w:tab/>
        <w:tab/>
        <w:tab/>
        <w:tab/>
        <w:tab/>
        <w:tab/>
        <w:t>Invoice No. 11.01</w:t>
      </w:r>
    </w:p>
    <w:p>
      <w:pPr>
        <w:pStyle w:val="Normal"/>
        <w:rPr>
          <w:b/>
          <w:bCs/>
        </w:rPr>
      </w:pPr>
      <w:r>
        <w:rPr>
          <w:b/>
          <w:bCs/>
        </w:rPr>
        <w:t>Enron Corp.</w:t>
      </w:r>
    </w:p>
    <w:p>
      <w:pPr>
        <w:pStyle w:val="Normal"/>
        <w:rPr>
          <w:b/>
          <w:bCs/>
        </w:rPr>
      </w:pPr>
      <w:r>
        <w:rPr>
          <w:b/>
          <w:bCs/>
        </w:rPr>
        <w:t>November 2001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7470"/>
        <w:gridCol w:w="1188"/>
      </w:tblGrid>
      <w:tr>
        <w:trPr>
          <w:tblHeader w:val="true"/>
        </w:trPr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Description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Hours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11/5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rPr/>
            </w:pPr>
            <w:r>
              <w:rPr/>
              <w:t>Review and prepare summaries of several recent PG&amp;E advice letters and send to client.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0.8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11/9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rPr/>
            </w:pPr>
            <w:r>
              <w:rPr/>
              <w:t>Review and prepare summaries of multiple Edison, PG&amp;E, SoCalGas and SDG&amp;E advice letters; send to clients.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2.8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/>
            </w:pPr>
            <w:r>
              <w:rPr/>
              <w:t>11/18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rPr/>
            </w:pPr>
            <w:r>
              <w:rPr/>
              <w:t>Review and provide summaries of several advice letters from Edison, SDG&amp;E and SoCalGas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2.3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spacing w:lineRule="auto" w:line="360"/>
              <w:rPr/>
            </w:pPr>
            <w:r>
              <w:rPr/>
              <w:t>11/20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Modifications to earlier summaries.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0.2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spacing w:lineRule="auto" w:line="360"/>
              <w:rPr/>
            </w:pPr>
            <w:r>
              <w:rPr/>
              <w:t>11/21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Send email regarding Commission denial of accelerated comment schedule.  Review TURN's letter commenting on the Edison advice letter to</w:t>
              <w:br/>
              <w:t>implement the Settlement.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0.5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spacing w:lineRule="auto" w:line="360"/>
              <w:rPr/>
            </w:pPr>
            <w:r>
              <w:rPr/>
              <w:t>11/22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Review and prepare summaries of one SoCalGas and four PG&amp;E advice letters and send to clients.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1.4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Flush"/>
              <w:spacing w:lineRule="auto" w:line="360"/>
              <w:rPr/>
            </w:pPr>
            <w:r>
              <w:rPr/>
              <w:t>11/28</w:t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rPr/>
            </w:pPr>
            <w:r>
              <w:rPr/>
              <w:t>Review Edison, PG&amp;E and SoCalGas advice letters; prepare summaries and send to clients.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1.2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>
                <w:lang w:val="en-CA"/>
              </w:rPr>
            </w:pPr>
            <w:r>
              <w:fldChar w:fldCharType="begin"/>
            </w:r>
            <w:r>
              <w:rPr>
                <w:lang w:val="en-CA"/>
              </w:rPr>
              <w:instrText xml:space="preserve"> =SUM(ABOVE)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>9.2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SUMMARY:</w:t>
            </w:r>
            <w:r>
              <w:rPr/>
              <w:t xml:space="preserve">  9.2 hours at $350/hour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$3,220.00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/>
              <w:t>Less discount for monthly retainer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(220.00)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Monthly Retainer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$3,000.00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EXPENSES:  (none)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/>
            </w:pPr>
            <w:r>
              <w:rPr/>
              <w:t>0</w:t>
            </w:r>
          </w:p>
        </w:tc>
      </w:tr>
      <w:tr>
        <w:trPr/>
        <w:tc>
          <w:tcPr>
            <w:tcW w:w="91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</w:r>
          </w:p>
        </w:tc>
        <w:tc>
          <w:tcPr>
            <w:tcW w:w="747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rPr>
                <w:b/>
                <w:bCs/>
              </w:rPr>
            </w:pPr>
            <w:r>
              <w:rPr>
                <w:b/>
                <w:bCs/>
              </w:rPr>
              <w:t>TOTAL DUE AND OWING:</w:t>
            </w:r>
          </w:p>
        </w:tc>
        <w:tc>
          <w:tcPr>
            <w:tcW w:w="1188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Normal"/>
              <w:spacing w:lineRule="auto" w:line="360"/>
              <w:jc w:val="end"/>
              <w:rPr>
                <w:b/>
                <w:bCs/>
              </w:rPr>
            </w:pPr>
            <w:r>
              <w:rPr>
                <w:b/>
                <w:bCs/>
              </w:rPr>
              <w:t>$3,000.00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  <w:t>DUNS number: 027888895.</w:t>
      </w:r>
    </w:p>
    <w:p>
      <w:pPr>
        <w:pStyle w:val="Normal"/>
        <w:rPr>
          <w:color w:val="000000"/>
        </w:rPr>
      </w:pPr>
      <w:r>
        <w:rPr>
          <w:color w:val="000000"/>
        </w:rPr>
        <w:t>Tax I.D. No.:  95-4870948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776" w:footer="0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Century Gothic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Enron Statement 6.01</w:t>
    </w:r>
  </w:p>
  <w:p>
    <w:pPr>
      <w:pStyle w:val="Header"/>
      <w:rPr/>
    </w:pPr>
    <w:r>
      <w:rPr/>
      <w:t>June, 2001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LeftSide">
    <w:name w:val="LeftSide"/>
    <w:qFormat/>
    <w:pPr>
      <w:widowControl w:val="false"/>
      <w:suppressAutoHyphens w:val="true"/>
      <w:bidi w:val="0"/>
      <w:spacing w:before="1200" w:after="0"/>
    </w:pPr>
    <w:rPr>
      <w:rFonts w:ascii="Times New Roman" w:hAnsi="Times New Roman" w:eastAsia="Times New Roman" w:cs="Times New Roman"/>
      <w:color w:val="auto"/>
      <w:spacing w:val="10"/>
      <w:sz w:val="16"/>
      <w:szCs w:val="16"/>
      <w:lang w:val="en-US" w:eastAsia="zh-CN" w:bidi="hi-IN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RightSide">
    <w:name w:val="RightSide"/>
    <w:qFormat/>
    <w:pPr>
      <w:widowControl w:val="false"/>
      <w:suppressAutoHyphens w:val="true"/>
      <w:bidi w:val="0"/>
      <w:spacing w:before="720" w:after="0"/>
      <w:ind w:hanging="0" w:start="1642" w:end="0"/>
    </w:pPr>
    <w:rPr>
      <w:rFonts w:ascii="Times New Roman" w:hAnsi="Times New Roman" w:eastAsia="Times New Roman" w:cs="Times New Roman"/>
      <w:color w:val="auto"/>
      <w:spacing w:val="10"/>
      <w:sz w:val="16"/>
      <w:szCs w:val="16"/>
      <w:lang w:val="en-US" w:eastAsia="zh-CN" w:bidi="hi-IN"/>
    </w:rPr>
  </w:style>
  <w:style w:type="paragraph" w:styleId="zLtrAddr">
    <w:name w:val="zLtrAddr"/>
    <w:basedOn w:val="Normal"/>
    <w:qFormat/>
    <w:pPr>
      <w:widowControl w:val="false"/>
      <w:suppressAutoHyphens w:val="true"/>
      <w:spacing w:before="100" w:after="0"/>
      <w:jc w:val="center"/>
    </w:pPr>
    <w:rPr>
      <w:spacing w:val="10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2001-11-11T15:40:00Z</dcterms:created>
  <dc:creator>Daniel W. Douglass</dc:creator>
  <dc:description/>
  <dc:language>en-CA</dc:language>
  <cp:lastModifiedBy>Daniel W. Douglass</cp:lastModifiedBy>
  <cp:lastPrinted>2001-05-09T14:42:00Z</cp:lastPrinted>
  <dcterms:modified xsi:type="dcterms:W3CDTF">2001-12-21T19:26:00Z</dcterms:modified>
  <cp:revision>17</cp:revision>
  <dc:subject/>
  <dc:title>Enron Statement of Services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00000</vt:lpwstr>
  </property>
  <property fmtid="{D5CDD505-2E9C-101B-9397-08002B2CF9AE}" pid="3" name="DocNumber">
    <vt:lpwstr>462845</vt:lpwstr>
  </property>
  <property fmtid="{D5CDD505-2E9C-101B-9397-08002B2CF9AE}" pid="4" name="DocVersion">
    <vt:lpwstr>1</vt:lpwstr>
  </property>
  <property fmtid="{D5CDD505-2E9C-101B-9397-08002B2CF9AE}" pid="5" name="Matter">
    <vt:lpwstr>00850</vt:lpwstr>
  </property>
</Properties>
</file>