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Mary Solmonson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Chris Gaskill</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Gas Trading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bookmarkStart w:id="1" w:name="tSubject"/>
            <w:bookmarkEnd w:id="1"/>
            <w:r>
              <w:rPr/>
              <w:t>EnTelligence Phase I</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2" w:name="StartOfMemo"/>
      <w:bookmarkStart w:id="3" w:name="StartOfMemo"/>
      <w:bookmarkEnd w:id="3"/>
    </w:p>
    <w:p>
      <w:pPr>
        <w:pStyle w:val="Body"/>
        <w:ind w:start="0" w:end="0"/>
        <w:rPr/>
      </w:pPr>
      <w:r>
        <w:rPr/>
        <w:t xml:space="preserve">I have reviewed the requirements and functional specifications for Phase I of the EnTelligence prospecting tool with Jennifer Fraser and Jeff Shankman.  For general company research, Phase I meets our requirements.  We agree to the design and functionality of the Market Penetration, Industry Prospecting, Comparison Prospecting, and Company Profile windows.  </w:t>
      </w:r>
    </w:p>
    <w:p>
      <w:pPr>
        <w:pStyle w:val="Body"/>
        <w:ind w:start="0" w:end="0"/>
        <w:rPr/>
      </w:pPr>
      <w:r>
        <w:rPr/>
      </w:r>
    </w:p>
    <w:p>
      <w:pPr>
        <w:pStyle w:val="Body"/>
        <w:ind w:start="0" w:end="0"/>
        <w:rPr/>
      </w:pPr>
      <w:r>
        <w:rPr/>
        <w:t>We initially requested minor changes in the design of the Industry Prospecting and Comparison Prospecting windows.  However, due to the need to implement Phase I as soon as possible, we agreed to the delivery of the changes in Phase II.  These changes include the ability to limit the search criteria on city and zip codes.  We cannot emphasize enough the need to accelerate the implementation of our additional changes.</w:t>
      </w:r>
    </w:p>
    <w:p>
      <w:pPr>
        <w:pStyle w:val="Body"/>
        <w:ind w:start="0" w:end="0"/>
        <w:rPr/>
      </w:pPr>
      <w:r>
        <w:rPr/>
      </w:r>
    </w:p>
    <w:p>
      <w:pPr>
        <w:pStyle w:val="Body"/>
        <w:ind w:start="0" w:end="0"/>
        <w:rPr/>
      </w:pPr>
      <w:r>
        <w:rPr/>
        <w:t>As for the plan for future phases, we would like to restate our concern over the long period of time needed to implement the Activity Details window (currently in Phase III –  Q1,2001), which will allow the trading and marketing groups to view detailed information on existing deals by counterparty.  This information will allow us to easily target the potential renegotiation of existing deals, and represents one of the key commercial uses for global information.  We understand that the EnTelligence team is dependent on the implementation of a trade warehouse, which will centralize deal information from the existing legacy systems.  We suggest that appropriate resources be committed to the trade warehouse in order to shorten the timeline for the delivery of the EnTelligence Activity Details window.  The appropriate timeline for the rollout of Phase III is Q3, 2000, as opposed to Q1, 2001.</w:t>
      </w:r>
    </w:p>
    <w:p>
      <w:pPr>
        <w:pStyle w:val="Body"/>
        <w:ind w:start="0" w:end="0"/>
        <w:rPr/>
      </w:pPr>
      <w:r>
        <w:rPr/>
      </w:r>
    </w:p>
    <w:p>
      <w:pPr>
        <w:pStyle w:val="Body"/>
        <w:ind w:hanging="450" w:start="450" w:end="0"/>
        <w:rPr/>
      </w:pPr>
      <w:r>
        <w:rPr/>
        <w:t>Cc:  Phillipe Bibi, David Delainey, Jennifer Fraser, Beth Perlman, Vanessa Schulte, Jeff Shankman, Colleen Sullivan</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2000-04-26T16:28:00Z</dcterms:created>
  <dc:creator>Jeff Ford</dc:creator>
  <dc:description/>
  <dc:language>en-CA</dc:language>
  <cp:lastModifiedBy>cgaskill</cp:lastModifiedBy>
  <cp:lastPrinted>2000-04-26T13:39:00Z</cp:lastPrinted>
  <dcterms:modified xsi:type="dcterms:W3CDTF">2000-04-26T16:28:00Z</dcterms:modified>
  <cp:revision>2</cp:revision>
  <dc:subject>Responsibilities</dc:subject>
  <dc:title>Eron Capital &amp; Trade Resources Memo</dc:title>
</cp:coreProperties>
</file>