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Arial" w:hAnsi="Arial" w:cs="Arial"/>
          <w:sz w:val="22"/>
        </w:rPr>
      </w:pPr>
      <w:r>
        <w:object w:dxaOrig="630" w:dyaOrig="118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9.6pt;margin-top:-237.65pt;width:26.65pt;height:792pt;mso-wrap-distance-left:9.05pt;mso-wrap-distance-right:9.05pt;mso-position-horizontal-relative:text;mso-position-vertical-relative:text" filled="f" o:ole="">
            <v:imagedata r:id="rId3" o:title=""/>
          </v:shape>
          <o:OLEObject Type="Embed" ProgID="" ShapeID="ole_rId2" DrawAspect="Content" ObjectID="_1364478848" r:id="rId2"/>
        </w:object>
      </w:r>
      <w:r>
        <w:rPr>
          <w:rFonts w:cs="Arial" w:ascii="Arial" w:hAnsi="Arial"/>
          <w:b/>
          <w:sz w:val="28"/>
          <w:u w:val="single"/>
        </w:rPr>
        <w:t>INTRODUCTION TO EMTA AND THE EMERGING MARKETS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rFonts w:ascii="Arial" w:hAnsi="Arial" w:cs="Arial"/>
          <w:sz w:val="24"/>
        </w:rPr>
      </w:pPr>
      <w:r>
        <w:rPr>
          <w:rFonts w:cs="Arial" w:ascii="Arial" w:hAnsi="Arial"/>
          <w:sz w:val="24"/>
        </w:rPr>
        <w:t>The Emerging Markets Traders Association is dedicated to promoting the orderly development of fair, efficient and transparent trading markets for Emerging Markets instruments and to helping integrate the Emerging Markets into the global capital markets.</w:t>
      </w:r>
    </w:p>
    <w:p>
      <w:pPr>
        <w:pStyle w:val="Normal"/>
        <w:jc w:val="both"/>
        <w:rPr>
          <w:rFonts w:ascii="Arial" w:hAnsi="Arial" w:cs="Arial"/>
          <w:sz w:val="24"/>
        </w:rPr>
      </w:pPr>
      <w:r>
        <w:rPr>
          <w:rFonts w:cs="Arial" w:ascii="Arial" w:hAnsi="Arial"/>
          <w:sz w:val="24"/>
        </w:rPr>
      </w:r>
    </w:p>
    <w:p>
      <w:pPr>
        <w:pStyle w:val="Normal"/>
        <w:numPr>
          <w:ilvl w:val="0"/>
          <w:numId w:val="0"/>
        </w:numPr>
        <w:jc w:val="both"/>
        <w:outlineLvl w:val="0"/>
        <w:rPr>
          <w:rFonts w:ascii="Arial" w:hAnsi="Arial" w:cs="Arial"/>
          <w:sz w:val="24"/>
        </w:rPr>
      </w:pPr>
      <w:r>
        <w:rPr>
          <w:rFonts w:cs="Arial" w:ascii="Arial" w:hAnsi="Arial"/>
          <w:sz w:val="24"/>
          <w:u w:val="single"/>
        </w:rPr>
        <w:t>History of the Emerging Markets Trading Industry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Shortly after the beginning of the Latin American debt crisis in 1982, a small secondary trading market for sovereign loans gradually began to develop among commercial banks.  Trading activity increased substantially in 1986 and 1987 after several debtor countries (Chile and Mexico) adopted debt-for-equity exchange programs as part of their debt restructuring packages.  Trading activity continued to grow after 1987, as commercial banks in the United States and elsewhere increased their loan loss reserves, making it more commercially viable to sell loans at less than face value.  The implementation of the Brady Plan in 1989-90 further accelerated the growth of the LDC debt trading markets, as the announcement of each successive agreement-in-principle set off a new wave of loan trading  as well as trading of the proposed new instruments on a when-issued basis.  By 1990, it was apparent that what had started as sporadic, highly individualized loan sales transactions had developed into a large, sophisticated trading market with many active participants from the commercial banking and broker-dealer communities.  During the 1990's, the market for Emerging Markets debt grew not only in volume, but also in the types of instruments traded, the number of trading houses and investors involved, and the size of the market in relation to others worldwide.  By 1997, after over a decade of default, all major Brady restructurings had been announced or completed, signaling the transformation from an unsecuritized loan market to a bond market and paving the way for many former debtor nations to re-enter the voluntary global capital markets.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Sovereigns and other Emerging Markets issuers generally took advantage of favorable market conditions during 1996, 1997 and early 1998 to refinance a portion of their stock of debt, and investors increasingly sought the higher yields available in local currency instruments and more market-oriented dollar-denominated assets.  Local currency asset values fell sharply following the onset of financial and economic difficulties in Southeast Asia in mid-1997.  By mid-1998, market contagion had spread these difficulties to Russia, which in turn led to a severe, and more general, contagion throughout the Emerging Markets in the latter half of 1998. The resulting loss of investor confidence eventually led to Brazil’s effective devaluation of the real in early 1999.</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These events, and their contagion effects, have raised questions regarding the effectiveness of fundamental analysis in isolating potential investment opportunities in the Emerging Markets.</w:t>
      </w:r>
    </w:p>
    <w:p>
      <w:pPr>
        <w:pStyle w:val="Normal"/>
        <w:jc w:val="both"/>
        <w:rPr>
          <w:rFonts w:ascii="Arial" w:hAnsi="Arial" w:cs="Arial"/>
          <w:sz w:val="22"/>
        </w:rPr>
      </w:pPr>
      <w:r>
        <w:rPr>
          <w:rFonts w:cs="Arial" w:ascii="Arial" w:hAnsi="Arial"/>
          <w:sz w:val="22"/>
        </w:rPr>
      </w:r>
    </w:p>
    <w:p>
      <w:pPr>
        <w:pStyle w:val="Normal"/>
        <w:numPr>
          <w:ilvl w:val="0"/>
          <w:numId w:val="0"/>
        </w:numPr>
        <w:jc w:val="both"/>
        <w:outlineLvl w:val="0"/>
        <w:rPr>
          <w:rFonts w:ascii="Arial" w:hAnsi="Arial" w:cs="Arial"/>
          <w:sz w:val="24"/>
        </w:rPr>
      </w:pPr>
      <w:r>
        <w:rPr>
          <w:rFonts w:cs="Arial" w:ascii="Arial" w:hAnsi="Arial"/>
          <w:sz w:val="24"/>
          <w:u w:val="single"/>
        </w:rPr>
        <w:t>Growth of  Market Activity</w:t>
      </w:r>
    </w:p>
    <w:p>
      <w:pPr>
        <w:pStyle w:val="Normal"/>
        <w:jc w:val="both"/>
        <w:rPr>
          <w:rFonts w:ascii="Arial" w:hAnsi="Arial" w:cs="Arial"/>
          <w:sz w:val="24"/>
        </w:rPr>
      </w:pPr>
      <w:r>
        <w:rPr>
          <w:rFonts w:cs="Arial" w:ascii="Arial" w:hAnsi="Arial"/>
          <w:sz w:val="24"/>
        </w:rPr>
      </w:r>
    </w:p>
    <w:p>
      <w:pPr>
        <w:pStyle w:val="BodyText"/>
        <w:jc w:val="both"/>
        <w:rPr>
          <w:rFonts w:ascii="Arial" w:hAnsi="Arial" w:cs="Arial"/>
        </w:rPr>
      </w:pPr>
      <w:r>
        <w:rPr>
          <w:rFonts w:cs="Arial" w:ascii="Arial" w:hAnsi="Arial"/>
        </w:rPr>
        <w:t>In its initial stages, the Emerging Markets debt industry was largely composed of trading in defaulted sovereign loans and Brady instruments.  However, over time, the market has evolved to include greater volume in Eurobonds and Local Markets instruments as investors continue to seek higher yields, and as emerging countries, which have restructured defaulted debt, are able to reaccess the global capital markets. The market has also diversified geographically from a market primarily of Latin debt to also include instruments issued by Russia, Eastern Europe, Africa, Asia and the Middle East.</w:t>
      </w:r>
    </w:p>
    <w:p>
      <w:pPr>
        <w:pStyle w:val="BodyText"/>
        <w:jc w:val="both"/>
        <w:rPr>
          <w:rFonts w:ascii="Arial" w:hAnsi="Arial" w:cs="Arial"/>
        </w:rPr>
      </w:pPr>
      <w:r>
        <w:rPr>
          <w:rFonts w:cs="Arial" w:ascii="Arial" w:hAnsi="Arial"/>
        </w:rPr>
      </w:r>
    </w:p>
    <w:p>
      <w:pPr>
        <w:pStyle w:val="BodyText"/>
        <w:jc w:val="both"/>
        <w:rPr>
          <w:rFonts w:ascii="Arial" w:hAnsi="Arial" w:cs="Arial"/>
        </w:rPr>
      </w:pPr>
      <w:r>
        <w:rPr>
          <w:rFonts w:cs="Arial" w:ascii="Arial" w:hAnsi="Arial"/>
        </w:rPr>
        <w:t>The growth in the Emerging Markets debt trading industry has been documented in EMTA’s Debt Trading Volume Surveys.  In EMTA’s first Survey in 1992, market participants reported trading U.S. $733 billion in Emerging Markets debt instruments; in EMTA’s most recent annual Volume Survey, reported volume stood at U.S. $2.2 billion in 1999.  Trading volume peaked in 1997, at nearly U.S. $6 trillion, but declined following the Asian and Russian financial crises as well as industry consolidation.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More information on trends in the Emerging Markets debt market can be found in EMTA’s Debt Trading Volume Surveys, available on an annual basis since 1992, and quarterly since the first quarter of 1997.</w:t>
      </w:r>
    </w:p>
    <w:p>
      <w:pPr>
        <w:pStyle w:val="Normal"/>
        <w:rPr>
          <w:rFonts w:ascii="Arial" w:hAnsi="Arial" w:cs="Arial"/>
          <w:sz w:val="24"/>
        </w:rPr>
      </w:pPr>
      <w:r>
        <w:rPr>
          <w:rFonts w:cs="Arial" w:ascii="Arial" w:hAnsi="Arial"/>
          <w:sz w:val="24"/>
        </w:rPr>
      </w:r>
    </w:p>
    <w:p>
      <w:pPr>
        <w:pStyle w:val="Normal"/>
        <w:numPr>
          <w:ilvl w:val="0"/>
          <w:numId w:val="0"/>
        </w:numPr>
        <w:jc w:val="both"/>
        <w:outlineLvl w:val="0"/>
        <w:rPr>
          <w:rFonts w:ascii="Arial" w:hAnsi="Arial" w:cs="Arial"/>
          <w:sz w:val="24"/>
        </w:rPr>
      </w:pPr>
      <w:r>
        <w:rPr>
          <w:rFonts w:cs="Arial" w:ascii="Arial" w:hAnsi="Arial"/>
          <w:sz w:val="24"/>
          <w:u w:val="single"/>
        </w:rPr>
        <w:t>EMTA’s Role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EMTA was formed in 1990 to take advantage of new trading opportunities created by Mexican and Venezuelan debt reschedulings under the Brady Plan.  In an effort to develop market mechanisms and infrastructure to trade nearly U.S. $50 billion of new debt securities which were issued, a small group of debt traders from major international financial institutions formed the LDC Debt Traders Association.  The organization changed its name to the Emerging Markets Traders Association (EMTA) in May 1992 in order to reflect the industry’s perception of the market more accurately.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Beginning in early 1996, EMTA expanded the scope of its activities to include Local Markets.  Through collaboration with Local Market participants and regulatory authorities, EMTA worked to increase cross-border capital flows by clarifying Market Practices and promoting consistency between local and international trading standards.  Local Markets projects address issues posed by trading in local money markets, derivatives, foreign exchange and repo markets in Latin America and Eastern Europe.</w:t>
      </w:r>
    </w:p>
    <w:p>
      <w:pPr>
        <w:pStyle w:val="Normal"/>
        <w:jc w:val="both"/>
        <w:rPr>
          <w:rFonts w:ascii="Arial" w:hAnsi="Arial" w:cs="Arial"/>
          <w:sz w:val="22"/>
        </w:rPr>
      </w:pPr>
      <w:r>
        <w:rPr>
          <w:rFonts w:cs="Arial" w:ascii="Arial" w:hAnsi="Arial"/>
          <w:sz w:val="22"/>
        </w:rPr>
      </w:r>
    </w:p>
    <w:p>
      <w:pPr>
        <w:pStyle w:val="Normal"/>
        <w:numPr>
          <w:ilvl w:val="0"/>
          <w:numId w:val="0"/>
        </w:numPr>
        <w:jc w:val="both"/>
        <w:outlineLvl w:val="0"/>
        <w:rPr>
          <w:rFonts w:ascii="Arial" w:hAnsi="Arial" w:cs="Arial"/>
          <w:sz w:val="24"/>
        </w:rPr>
      </w:pPr>
      <w:r>
        <w:rPr>
          <w:rFonts w:cs="Arial" w:ascii="Arial" w:hAnsi="Arial"/>
          <w:sz w:val="24"/>
          <w:u w:val="single"/>
        </w:rPr>
        <w:t>EMTA’s Membership and Structure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EMTA’s 110 member institutions include broker-dealers, commercial banks, investment banks, merchant banks, and other major financial institutions worldwide.  Membership is also open to other institutions, such as law firms, accounting firms, vendors, rating agencies and consultants who have a role in promoting EMTA’s goals and mission.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EMTA's Board of Directors is comprised of leading Emerging Markets dealers and professionals, who work with EMTA’s Executive Director and staff to identify critical industry issues.  The Board of Directors meets quarterly in New York City and London.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Many of EMTA’s projects are conducted through Working Groups of market participants, who identify industry issues and formulate possible solutions to common problems.</w:t>
      </w:r>
    </w:p>
    <w:p>
      <w:pPr>
        <w:pStyle w:val="Normal"/>
        <w:jc w:val="both"/>
        <w:rPr>
          <w:rFonts w:ascii="Arial" w:hAnsi="Arial" w:cs="Arial"/>
          <w:sz w:val="24"/>
          <w:u w:val="single"/>
        </w:rPr>
      </w:pPr>
      <w:r>
        <w:rPr>
          <w:rFonts w:cs="Arial" w:ascii="Arial" w:hAnsi="Arial"/>
          <w:sz w:val="24"/>
          <w:u w:val="single"/>
        </w:rPr>
      </w:r>
    </w:p>
    <w:p>
      <w:pPr>
        <w:pStyle w:val="Normal"/>
        <w:numPr>
          <w:ilvl w:val="0"/>
          <w:numId w:val="0"/>
        </w:numPr>
        <w:jc w:val="both"/>
        <w:outlineLvl w:val="0"/>
        <w:rPr>
          <w:rFonts w:ascii="Arial" w:hAnsi="Arial" w:cs="Arial"/>
          <w:sz w:val="24"/>
        </w:rPr>
      </w:pPr>
      <w:r>
        <w:rPr>
          <w:rFonts w:cs="Arial" w:ascii="Arial" w:hAnsi="Arial"/>
          <w:sz w:val="24"/>
          <w:u w:val="single"/>
        </w:rPr>
        <w:t>EMTA’s Activities</w:t>
      </w:r>
    </w:p>
    <w:p>
      <w:pPr>
        <w:pStyle w:val="Normal"/>
        <w:jc w:val="both"/>
        <w:rPr>
          <w:rFonts w:ascii="Arial" w:hAnsi="Arial" w:cs="Arial"/>
          <w:sz w:val="24"/>
        </w:rPr>
      </w:pPr>
      <w:r>
        <w:rPr>
          <w:rFonts w:cs="Arial" w:ascii="Arial" w:hAnsi="Arial"/>
          <w:sz w:val="24"/>
        </w:rPr>
      </w:r>
    </w:p>
    <w:p>
      <w:pPr>
        <w:pStyle w:val="Normal"/>
        <w:numPr>
          <w:ilvl w:val="0"/>
          <w:numId w:val="1"/>
        </w:numPr>
        <w:jc w:val="both"/>
        <w:rPr>
          <w:rFonts w:ascii="Arial" w:hAnsi="Arial" w:cs="Arial"/>
          <w:sz w:val="24"/>
        </w:rPr>
      </w:pPr>
      <w:r>
        <w:rPr>
          <w:rFonts w:cs="Arial" w:ascii="Arial" w:hAnsi="Arial"/>
          <w:i/>
          <w:sz w:val="24"/>
        </w:rPr>
        <w:t>Proprietary Materials</w:t>
      </w:r>
    </w:p>
    <w:p>
      <w:pPr>
        <w:pStyle w:val="Normal"/>
        <w:jc w:val="both"/>
        <w:rPr>
          <w:rFonts w:ascii="Arial" w:hAnsi="Arial" w:cs="Arial"/>
          <w:sz w:val="24"/>
        </w:rPr>
      </w:pPr>
      <w:r>
        <w:rPr>
          <w:rFonts w:cs="Arial" w:ascii="Arial" w:hAnsi="Arial"/>
          <w:sz w:val="24"/>
        </w:rPr>
      </w:r>
    </w:p>
    <w:p>
      <w:pPr>
        <w:pStyle w:val="Normal"/>
        <w:numPr>
          <w:ilvl w:val="0"/>
          <w:numId w:val="0"/>
        </w:numPr>
        <w:ind w:hanging="0" w:start="0"/>
        <w:jc w:val="both"/>
        <w:rPr>
          <w:rFonts w:ascii="Arial" w:hAnsi="Arial" w:cs="Arial"/>
          <w:sz w:val="24"/>
        </w:rPr>
      </w:pPr>
      <w:r>
        <w:rPr>
          <w:rFonts w:cs="Arial" w:ascii="Arial" w:hAnsi="Arial"/>
          <w:sz w:val="24"/>
        </w:rPr>
        <w:t xml:space="preserve">EMTA produces various proprietary materials, including annual and quarterly Debt Trading Volume Surveys, an industry Code of Conduct, Market Practices and standard documentation for trading and settling specific Emerging Markets instruments.  </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5"/>
        </w:numPr>
        <w:ind w:hanging="0" w:start="0" w:end="0"/>
        <w:jc w:val="both"/>
        <w:rPr>
          <w:rFonts w:ascii="Arial" w:hAnsi="Arial" w:cs="Arial"/>
          <w:sz w:val="24"/>
        </w:rPr>
      </w:pPr>
      <w:r>
        <w:rPr>
          <w:rFonts w:cs="Arial" w:ascii="Arial" w:hAnsi="Arial"/>
          <w:i/>
          <w:sz w:val="24"/>
        </w:rPr>
        <w:t>EMCC, Trade Confirmation, Clearing and Settlement Systems</w:t>
      </w:r>
    </w:p>
    <w:p>
      <w:pPr>
        <w:pStyle w:val="Normal"/>
        <w:jc w:val="both"/>
        <w:rPr>
          <w:rFonts w:ascii="Arial" w:hAnsi="Arial" w:cs="Arial"/>
          <w:sz w:val="24"/>
        </w:rPr>
      </w:pPr>
      <w:r>
        <w:rPr>
          <w:rFonts w:cs="Arial" w:ascii="Arial" w:hAnsi="Arial"/>
          <w:sz w:val="24"/>
        </w:rPr>
      </w:r>
    </w:p>
    <w:p>
      <w:pPr>
        <w:pStyle w:val="Normal"/>
        <w:numPr>
          <w:ilvl w:val="0"/>
          <w:numId w:val="0"/>
        </w:numPr>
        <w:ind w:hanging="0" w:start="0"/>
        <w:jc w:val="both"/>
        <w:rPr>
          <w:rFonts w:ascii="Arial" w:hAnsi="Arial" w:cs="Arial"/>
          <w:sz w:val="24"/>
        </w:rPr>
      </w:pPr>
      <w:r>
        <w:rPr>
          <w:rFonts w:cs="Arial" w:ascii="Arial" w:hAnsi="Arial"/>
          <w:sz w:val="24"/>
        </w:rPr>
        <w:t>To support screen-based trading, and to address concerns about related counterparty risk, EMTA has sponsored the Emerging Markets Clearing Corporation (EMCC), which began operations in April 1998. EMCC brings improved efficiency and reduced counterparty risk to the marketplace for Brady bonds and sovereign Eurobonds by assuming matched trades and delivering settlement instructions directly to the Euroclear and Cedel settlement systems.  During 1998, EMCC assumed responsibility for operating EMTA's Match-EM trade comparison and matching system as the primary mechanism for inputting trades into EMCC.  In the middle of 1999, Match-EM was phased out, and EMCC now offers direct trade comparison and matching services to its participants.  Market volume and price data from EMCC trades are available on Bloomberg, Bridge Information Systems, Dow Jones Telerate and Reuters on a next-day basis.</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jc w:val="both"/>
        <w:rPr>
          <w:rFonts w:ascii="Arial" w:hAnsi="Arial" w:cs="Arial"/>
          <w:sz w:val="24"/>
        </w:rPr>
      </w:pPr>
      <w:r>
        <w:rPr>
          <w:rFonts w:cs="Arial" w:ascii="Arial" w:hAnsi="Arial"/>
          <w:i/>
          <w:sz w:val="24"/>
        </w:rPr>
        <w:t>Multilateral Netting Facilities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Since September 1994, EMTA has regularly operated the Multilateral Netting Facility to net and settle outstanding trades of Russian loans among major market participants.  Market participants periodically submit trade data to EMTA, which calculates and advises them of their net exposures to other participants.  Following this netting calculation, participants then settle their net trades among themselves, thus reducing the accumulation of open positions and the number of individual trades that are required to be recorded with agent and servicing bank(s).  Through March 16, 2000, the Russia VEB Facility has netted and settled 7,648 net positions aggregating U.S. $59 billion face amount. </w:t>
      </w:r>
    </w:p>
    <w:p>
      <w:pPr>
        <w:pStyle w:val="Normal"/>
        <w:jc w:val="both"/>
        <w:rPr>
          <w:rFonts w:ascii="Arial" w:hAnsi="Arial" w:cs="Arial"/>
          <w:sz w:val="24"/>
        </w:rPr>
      </w:pPr>
      <w:r>
        <w:rPr>
          <w:rFonts w:cs="Arial" w:ascii="Arial" w:hAnsi="Arial"/>
          <w:sz w:val="24"/>
        </w:rPr>
      </w:r>
    </w:p>
    <w:p>
      <w:pPr>
        <w:pStyle w:val="Normal"/>
        <w:numPr>
          <w:ilvl w:val="0"/>
          <w:numId w:val="2"/>
        </w:numPr>
        <w:jc w:val="both"/>
        <w:rPr>
          <w:rFonts w:ascii="Arial" w:hAnsi="Arial" w:cs="Arial"/>
          <w:sz w:val="24"/>
        </w:rPr>
      </w:pPr>
      <w:r>
        <w:rPr>
          <w:rFonts w:cs="Arial" w:ascii="Arial" w:hAnsi="Arial"/>
          <w:i/>
          <w:sz w:val="24"/>
        </w:rPr>
        <w:t>Local Markets Initiatives</w:t>
      </w:r>
    </w:p>
    <w:p>
      <w:pPr>
        <w:pStyle w:val="Normal"/>
        <w:jc w:val="both"/>
        <w:rPr>
          <w:rFonts w:ascii="Arial" w:hAnsi="Arial" w:cs="Arial"/>
          <w:sz w:val="24"/>
        </w:rPr>
      </w:pPr>
      <w:r>
        <w:rPr>
          <w:rFonts w:cs="Arial" w:ascii="Arial" w:hAnsi="Arial"/>
          <w:sz w:val="24"/>
        </w:rPr>
      </w:r>
    </w:p>
    <w:p>
      <w:pPr>
        <w:pStyle w:val="Normal"/>
        <w:numPr>
          <w:ilvl w:val="0"/>
          <w:numId w:val="0"/>
        </w:numPr>
        <w:ind w:hanging="0" w:start="0"/>
        <w:jc w:val="both"/>
        <w:rPr>
          <w:rFonts w:ascii="Arial" w:hAnsi="Arial" w:cs="Arial"/>
          <w:sz w:val="24"/>
        </w:rPr>
      </w:pPr>
      <w:r>
        <w:rPr>
          <w:rFonts w:cs="Arial" w:ascii="Arial" w:hAnsi="Arial"/>
          <w:sz w:val="24"/>
        </w:rPr>
        <w:t>EMTA’s Local Markets activities focus on facilitating changes in regulations, Market Practices and documentation affecting local over-the-counter debt and equity markets.  To achieve these goals, EMTA works with local regulators and both local and international market participants.</w:t>
      </w:r>
    </w:p>
    <w:p>
      <w:pPr>
        <w:pStyle w:val="Normal"/>
        <w:numPr>
          <w:ilvl w:val="0"/>
          <w:numId w:val="0"/>
        </w:numPr>
        <w:ind w:hanging="360" w:start="360" w:end="0"/>
        <w:jc w:val="both"/>
        <w:rPr>
          <w:rFonts w:ascii="Arial" w:hAnsi="Arial" w:cs="Arial"/>
          <w:sz w:val="24"/>
        </w:rPr>
      </w:pPr>
      <w:r>
        <w:rPr>
          <w:rFonts w:cs="Arial" w:ascii="Arial" w:hAnsi="Arial"/>
          <w:sz w:val="24"/>
        </w:rPr>
      </w:r>
    </w:p>
    <w:p>
      <w:pPr>
        <w:pStyle w:val="Normal"/>
        <w:numPr>
          <w:ilvl w:val="0"/>
          <w:numId w:val="5"/>
        </w:numPr>
        <w:jc w:val="both"/>
        <w:rPr>
          <w:rFonts w:ascii="Arial" w:hAnsi="Arial" w:cs="Arial"/>
          <w:sz w:val="24"/>
        </w:rPr>
      </w:pPr>
      <w:r>
        <w:rPr>
          <w:rFonts w:cs="Arial" w:ascii="Arial" w:hAnsi="Arial"/>
          <w:i/>
          <w:sz w:val="24"/>
        </w:rPr>
        <w:t>Member Representation and Guest Speakers</w:t>
      </w:r>
    </w:p>
    <w:p>
      <w:pPr>
        <w:pStyle w:val="Normal"/>
        <w:jc w:val="both"/>
        <w:rPr>
          <w:rFonts w:ascii="Arial" w:hAnsi="Arial" w:cs="Arial"/>
          <w:sz w:val="24"/>
        </w:rPr>
      </w:pPr>
      <w:r>
        <w:rPr>
          <w:rFonts w:cs="Arial" w:ascii="Arial" w:hAnsi="Arial"/>
          <w:sz w:val="24"/>
        </w:rPr>
      </w:r>
    </w:p>
    <w:p>
      <w:pPr>
        <w:pStyle w:val="Normal"/>
        <w:numPr>
          <w:ilvl w:val="0"/>
          <w:numId w:val="0"/>
        </w:numPr>
        <w:ind w:hanging="0" w:start="0"/>
        <w:jc w:val="both"/>
        <w:rPr>
          <w:rFonts w:ascii="Arial" w:hAnsi="Arial" w:cs="Arial"/>
          <w:sz w:val="24"/>
        </w:rPr>
      </w:pPr>
      <w:r>
        <w:rPr>
          <w:rFonts w:cs="Arial" w:ascii="Arial" w:hAnsi="Arial"/>
          <w:sz w:val="24"/>
        </w:rPr>
        <w:t>EMTA informally represents the collective interests of its members before various legislative and regulatory bodies.  Market professionals and industry leaders are invited to speak to EMTA members on a regular basis.  EMTA hosts two conferences a year: The London Summer Forum, which consists of two panels (Buy-Side and Sell-Side), held in London in July, and the Annual Meeting, which is a half-day conference, held in December, featuring noted analysts and keynote speakers from the Emerging Markets industry.</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4"/>
        </w:numPr>
        <w:jc w:val="both"/>
        <w:rPr>
          <w:rFonts w:ascii="Arial" w:hAnsi="Arial" w:cs="Arial"/>
          <w:sz w:val="24"/>
        </w:rPr>
      </w:pPr>
      <w:r>
        <w:rPr>
          <w:rFonts w:cs="Arial" w:ascii="Arial" w:hAnsi="Arial"/>
          <w:i/>
          <w:sz w:val="24"/>
        </w:rPr>
        <w:t>Member Services and Publications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EMTA routinely publicizes its most important activities through press releases, interviews, and a quarterly Members’ Bulletin.</w:t>
      </w:r>
    </w:p>
    <w:p>
      <w:pPr>
        <w:pStyle w:val="Normal"/>
        <w:jc w:val="both"/>
        <w:rPr>
          <w:rFonts w:ascii="Arial" w:hAnsi="Arial" w:cs="Arial"/>
          <w:sz w:val="24"/>
        </w:rPr>
      </w:pPr>
      <w:r>
        <w:rPr>
          <w:rFonts w:cs="Arial" w:ascii="Arial" w:hAnsi="Arial"/>
          <w:sz w:val="24"/>
        </w:rPr>
      </w:r>
    </w:p>
    <w:p>
      <w:pPr>
        <w:pStyle w:val="Normal"/>
        <w:numPr>
          <w:ilvl w:val="0"/>
          <w:numId w:val="0"/>
        </w:numPr>
        <w:jc w:val="both"/>
        <w:outlineLvl w:val="0"/>
        <w:rPr/>
      </w:pPr>
      <w:r>
        <w:rPr>
          <w:rFonts w:cs="Arial" w:ascii="Arial" w:hAnsi="Arial"/>
          <w:sz w:val="24"/>
        </w:rPr>
        <w:t xml:space="preserve">Please see EMTA's web page, </w:t>
      </w:r>
      <w:hyperlink r:id="rId4">
        <w:r>
          <w:rPr>
            <w:rStyle w:val="Hyperlink"/>
            <w:rFonts w:cs="Arial" w:ascii="Arial" w:hAnsi="Arial"/>
            <w:sz w:val="24"/>
          </w:rPr>
          <w:t>www.emta.org</w:t>
        </w:r>
      </w:hyperlink>
      <w:r>
        <w:rPr>
          <w:rFonts w:cs="Arial" w:ascii="Arial" w:hAnsi="Arial"/>
          <w:sz w:val="24"/>
        </w:rPr>
        <w:t>, for more information.</w:t>
      </w:r>
    </w:p>
    <w:sectPr>
      <w:footerReference w:type="default" r:id="rId5"/>
      <w:footerReference w:type="first" r:id="rId6"/>
      <w:type w:val="nextPage"/>
      <w:pgSz w:w="12240" w:h="15840"/>
      <w:pgMar w:left="1080" w:right="720" w:gutter="0" w:header="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both"/>
      <w:rPr>
        <w:rFonts w:ascii="Arial" w:hAnsi="Arial" w:cs="Arial"/>
        <w:sz w:val="16"/>
      </w:rPr>
    </w:pPr>
    <w:r>
      <w:rPr>
        <w:rFonts w:cs="Arial" w:ascii="Arial" w:hAnsi="Arial"/>
        <w:sz w:val="16"/>
      </w:rPr>
      <w:t>docs/emtainfo/emta1.doc[3/14/00]</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175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58.2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sz w:val="16"/>
      </w:rPr>
    </w:pPr>
    <w:r>
      <w:rPr>
        <w:rFonts w:cs="Arial" w:ascii="Arial" w:hAnsi="Arial"/>
        <w:sz w:val="16"/>
      </w:rPr>
      <w:t>docs/emtainfo/emta1 [3/14/00]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emta.org/"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1997-02-28T14:22:00Z</dcterms:created>
  <dc:creator>EMTA</dc:creator>
  <dc:description/>
  <dc:language>en-CA</dc:language>
  <cp:lastModifiedBy>Suzette Ortiz</cp:lastModifiedBy>
  <cp:lastPrinted>2001-04-09T16:35:00Z</cp:lastPrinted>
  <dcterms:modified xsi:type="dcterms:W3CDTF">2001-04-09T18:10:00Z</dcterms:modified>
  <cp:revision>82</cp:revision>
  <dc:subject/>
  <dc:title>INTRODUCTION TO EMTA AND THE EMERGING MARKETS</dc:title>
</cp:coreProperties>
</file>