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Index1"/>
              <w:rPr>
                <w:rFonts w:ascii="Times New Roman" w:hAnsi="Times New Roman" w:cs="Times New Roman"/>
              </w:rPr>
            </w:pPr>
            <w:r>
              <w:rPr>
                <w:rFonts w:cs="Times New Roman" w:ascii="Times New Roman" w:hAnsi="Times New Roman"/>
              </w:rPr>
              <w:drawing>
                <wp:inline distT="0" distB="0" distL="0" distR="0">
                  <wp:extent cx="1005205"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5205" cy="99631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i/>
                <w:i/>
                <w:sz w:val="20"/>
              </w:rPr>
            </w:pPr>
            <w:r>
              <w:rPr>
                <w:i/>
                <w:sz w:val="20"/>
              </w:rPr>
              <w:t>Fax (713) 646-4816</w:t>
            </w:r>
          </w:p>
        </w:tc>
      </w:tr>
    </w:tbl>
    <w:p>
      <w:pPr>
        <w:pStyle w:val="Index1"/>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20"/>
        </w:rPr>
      </w:pPr>
      <w:r>
        <w:rPr>
          <w:rFonts w:cs="Times New Roman"/>
          <w:sz w:val="20"/>
        </w:rPr>
      </w:r>
    </w:p>
    <w:p>
      <w:pPr>
        <w:pStyle w:val="Normal"/>
        <w:jc w:val="center"/>
        <w:rPr>
          <w:sz w:val="20"/>
        </w:rPr>
      </w:pPr>
      <w:r>
        <w:rPr>
          <w:sz w:val="20"/>
        </w:rPr>
      </w:r>
    </w:p>
    <w:p>
      <w:pPr>
        <w:pStyle w:val="Normal"/>
        <w:rPr>
          <w:sz w:val="20"/>
        </w:rPr>
      </w:pPr>
      <w:r>
        <w:rPr>
          <w:sz w:val="20"/>
        </w:rPr>
        <w:t>[November xx, 1999] (the “Confirmation Date”)</w:t>
      </w:r>
    </w:p>
    <w:p>
      <w:pPr>
        <w:pStyle w:val="Normal"/>
        <w:rPr>
          <w:sz w:val="20"/>
        </w:rPr>
      </w:pPr>
      <w:r>
        <w:rPr>
          <w:sz w:val="20"/>
        </w:rPr>
      </w:r>
    </w:p>
    <w:p>
      <w:pPr>
        <w:pStyle w:val="Index1"/>
        <w:rPr/>
      </w:pPr>
      <w:r>
        <w:rPr>
          <w:rFonts w:cs="Times New Roman" w:ascii="Times New Roman" w:hAnsi="Times New Roman"/>
        </w:rPr>
        <w:t xml:space="preserve">Empresa Distribuidora de Energia </w:t>
      </w:r>
      <w:r>
        <w:rPr>
          <w:rFonts w:cs="Times New Roman" w:ascii="Times New Roman" w:hAnsi="Times New Roman"/>
          <w:color w:val="000000"/>
        </w:rPr>
        <w:t>Norte S.A.</w:t>
      </w:r>
    </w:p>
    <w:p>
      <w:pPr>
        <w:pStyle w:val="Normal"/>
        <w:rPr>
          <w:sz w:val="20"/>
        </w:rPr>
      </w:pPr>
      <w:r>
        <w:rPr>
          <w:sz w:val="20"/>
        </w:rPr>
        <w:t>Diagonal 80, 1001</w:t>
      </w:r>
    </w:p>
    <w:p>
      <w:pPr>
        <w:pStyle w:val="Index1"/>
        <w:rPr>
          <w:rFonts w:ascii="Times New Roman" w:hAnsi="Times New Roman" w:cs="Times New Roman"/>
        </w:rPr>
      </w:pPr>
      <w:r>
        <w:rPr>
          <w:rFonts w:cs="Times New Roman" w:ascii="Times New Roman" w:hAnsi="Times New Roman"/>
        </w:rPr>
        <w:t>La Plata 1900</w:t>
      </w:r>
    </w:p>
    <w:p>
      <w:pPr>
        <w:pStyle w:val="Normal"/>
        <w:rPr>
          <w:sz w:val="20"/>
        </w:rPr>
      </w:pPr>
      <w:r>
        <w:rPr>
          <w:sz w:val="20"/>
        </w:rPr>
        <w:t>Argentina</w:t>
      </w:r>
    </w:p>
    <w:p>
      <w:pPr>
        <w:pStyle w:val="Normal"/>
        <w:rPr>
          <w:sz w:val="20"/>
        </w:rPr>
      </w:pPr>
      <w:r>
        <w:rPr>
          <w:sz w:val="20"/>
        </w:rPr>
        <w:t>Attention:  Gustavo Banderet</w:t>
      </w:r>
    </w:p>
    <w:p>
      <w:pPr>
        <w:pStyle w:val="Normal"/>
        <w:rPr>
          <w:sz w:val="20"/>
        </w:rPr>
      </w:pPr>
      <w:r>
        <w:rPr>
          <w:sz w:val="20"/>
        </w:rPr>
      </w:r>
    </w:p>
    <w:p>
      <w:pPr>
        <w:pStyle w:val="Normal"/>
        <w:rPr>
          <w:sz w:val="20"/>
        </w:rPr>
      </w:pPr>
      <w:r>
        <w:rPr>
          <w:sz w:val="20"/>
        </w:rPr>
        <w:t>Fax No.:            011 54 221 429 2205</w:t>
      </w:r>
    </w:p>
    <w:p>
      <w:pPr>
        <w:pStyle w:val="Normal"/>
        <w:rPr>
          <w:sz w:val="20"/>
        </w:rPr>
      </w:pPr>
      <w:r>
        <w:rPr>
          <w:sz w:val="20"/>
        </w:rPr>
        <w:t>Telephone No.: 011 54 221 429 2309</w:t>
      </w:r>
    </w:p>
    <w:p>
      <w:pPr>
        <w:pStyle w:val="Index1"/>
        <w:rPr>
          <w:rFonts w:ascii="Times New Roman" w:hAnsi="Times New Roman" w:cs="Times New Roman"/>
          <w:sz w:val="20"/>
        </w:rPr>
      </w:pPr>
      <w:r>
        <w:rPr>
          <w:rFonts w:cs="Times New Roman" w:ascii="Times New Roman" w:hAnsi="Times New Roman"/>
          <w:sz w:val="20"/>
        </w:rPr>
      </w:r>
    </w:p>
    <w:p>
      <w:pPr>
        <w:pStyle w:val="Normal"/>
        <w:rPr>
          <w:sz w:val="20"/>
        </w:rPr>
      </w:pPr>
      <w:r>
        <w:rPr>
          <w:sz w:val="20"/>
        </w:rPr>
        <w:t>Re:</w:t>
        <w:tab/>
        <w:t>SWAP TRANSACTION ENA Contract No. DRAFT</w:t>
      </w:r>
    </w:p>
    <w:p>
      <w:pPr>
        <w:pStyle w:val="Index1"/>
        <w:rPr>
          <w:rFonts w:ascii="Times New Roman" w:hAnsi="Times New Roman" w:cs="Times New Roman"/>
          <w:sz w:val="20"/>
        </w:rPr>
      </w:pPr>
      <w:r>
        <w:rPr>
          <w:rFonts w:cs="Times New Roman" w:ascii="Times New Roman" w:hAnsi="Times New Roman"/>
          <w:sz w:val="20"/>
        </w:rPr>
      </w:r>
    </w:p>
    <w:p>
      <w:pPr>
        <w:pStyle w:val="Normal"/>
        <w:rPr>
          <w:sz w:val="20"/>
        </w:rPr>
      </w:pPr>
      <w:r>
        <w:rPr>
          <w:sz w:val="20"/>
        </w:rPr>
        <w:t>Dear Sirs:</w:t>
      </w:r>
    </w:p>
    <w:p>
      <w:pPr>
        <w:pStyle w:val="Normal"/>
        <w:rPr>
          <w:sz w:val="20"/>
        </w:rPr>
      </w:pPr>
      <w:r>
        <w:rPr>
          <w:sz w:val="20"/>
        </w:rPr>
      </w:r>
    </w:p>
    <w:p>
      <w:pPr>
        <w:pStyle w:val="Normal"/>
        <w:tabs>
          <w:tab w:val="clear" w:pos="720"/>
          <w:tab w:val="left" w:pos="0" w:leader="none"/>
          <w:tab w:val="left" w:pos="2160" w:leader="none"/>
          <w:tab w:val="left" w:pos="9000" w:leader="none"/>
        </w:tabs>
        <w:spacing w:lineRule="atLeast" w:line="240"/>
        <w:jc w:val="both"/>
        <w:rPr/>
      </w:pPr>
      <w:r>
        <w:rPr>
          <w:sz w:val="20"/>
        </w:rPr>
        <w:t xml:space="preserve">The purpose of this document is to confirm the terms and conditions of the transaction entered into between Empresa Distribuidora de Energia Norte S.A. (“Counterparty”) and Enron North America Corp. (“ENA”) on [November ___, 1999] (the “Transaction”).  This document constitutes a “Confirmation” as referred to in the ISDA Agreement specified below and the transaction described above constitutes a “Transaction” as referred to in such ISDA Agreement; </w:t>
      </w:r>
      <w:r>
        <w:rPr>
          <w:sz w:val="20"/>
          <w:u w:val="single"/>
        </w:rPr>
        <w:t>provided, that</w:t>
      </w:r>
      <w:r>
        <w:rPr>
          <w:sz w:val="20"/>
        </w:rPr>
        <w:t xml:space="preserve"> notwithstanding anything to the contrary contained herein or in such ISDA Agreement, the Transaction shall automatically terminate and cease to be effective between and enforceable by each of ENA and Counterparty in the event that on or before the date that is fifteen (15) Business Days from the Confirmation Date, ENA receives from Counterparty documentation issued by the Compañía Administradora Del Mercado Mayorista Electrico (“CAMMESA”), indicating that Siderca Sociedad Anonima Industrial y Comercial  (Siderca”) has not been officially authorized as an Agent of the Wholesale Electricity Market as a Gran Usuario Mayor (“GUMA”).  In the event that the Transaction terminates and ceases to be effective as set forth in the preceding sentence, each of ENA and Counterparty agree that neither party shall have any liability to the other party or owe any amounts to the other party as a result thereof.   This is a Confirmation of the following Transaction entered into between us on [November ___, 1999] between Scott Neal of ENA and Gustavo Banderet of Counterparty.</w:t>
      </w:r>
    </w:p>
    <w:p>
      <w:pPr>
        <w:pStyle w:val="Normal"/>
        <w:jc w:val="both"/>
        <w:rPr>
          <w:sz w:val="20"/>
        </w:rPr>
      </w:pPr>
      <w:r>
        <w:rPr>
          <w:sz w:val="20"/>
        </w:rPr>
      </w:r>
    </w:p>
    <w:p>
      <w:pPr>
        <w:pStyle w:val="BodyText"/>
        <w:rPr/>
      </w:pPr>
      <w:r>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sz w:val="20"/>
        </w:rPr>
      </w:pPr>
      <w:r>
        <w:rPr>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p>
      <w:pPr>
        <w:pStyle w:val="Normal"/>
        <w:rPr>
          <w:sz w:val="20"/>
        </w:rPr>
      </w:pPr>
      <w:r>
        <w:rPr>
          <w:b/>
          <w:sz w:val="20"/>
        </w:rPr>
        <w:t>General Terms:</w:t>
      </w:r>
    </w:p>
    <w:p>
      <w:pPr>
        <w:pStyle w:val="Index1"/>
        <w:rPr>
          <w:rFonts w:ascii="Times New Roman" w:hAnsi="Times New Roman" w:cs="Times New Roman"/>
          <w:sz w:val="20"/>
        </w:rPr>
      </w:pPr>
      <w:r>
        <w:rPr>
          <w:rFonts w:cs="Times New Roman" w:ascii="Times New Roman" w:hAnsi="Times New Roman"/>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0"/>
              </w:rPr>
            </w:pPr>
            <w:r>
              <w:rPr>
                <w:sz w:val="20"/>
              </w:rPr>
              <w:t>Notional Quantity per</w:t>
            </w:r>
          </w:p>
          <w:p>
            <w:pPr>
              <w:pStyle w:val="Normal"/>
              <w:ind w:firstLine="720" w:end="0"/>
              <w:rPr>
                <w:sz w:val="20"/>
              </w:rPr>
            </w:pPr>
            <w:r>
              <w:rPr>
                <w:sz w:val="20"/>
              </w:rPr>
              <w:t>Calculation Period:</w:t>
            </w:r>
          </w:p>
          <w:p>
            <w:pPr>
              <w:pStyle w:val="Normal"/>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[February 1, 2000]:</w:t>
            </w:r>
          </w:p>
        </w:tc>
        <w:tc>
          <w:tcPr>
            <w:tcW w:w="6102" w:type="dxa"/>
            <w:tcBorders/>
          </w:tcPr>
          <w:p>
            <w:pPr>
              <w:pStyle w:val="Normal"/>
              <w:rPr>
                <w:sz w:val="20"/>
              </w:rPr>
            </w:pPr>
            <w:r>
              <w:rPr>
                <w:sz w:val="20"/>
              </w:rPr>
              <w:t>[66 MWh for each hour during the Calculation Period for a total of 45,936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[March,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[April, 2000]:</w:t>
            </w:r>
          </w:p>
        </w:tc>
        <w:tc>
          <w:tcPr>
            <w:tcW w:w="6102" w:type="dxa"/>
            <w:tcBorders/>
          </w:tcPr>
          <w:p>
            <w:pPr>
              <w:pStyle w:val="Normal"/>
              <w:rPr>
                <w:sz w:val="20"/>
              </w:rPr>
            </w:pPr>
            <w:r>
              <w:rPr>
                <w:sz w:val="20"/>
              </w:rPr>
              <w:t>[66 MWh for each hour during the Calculation Period for a total of 47,520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[May,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[June, 2000]:</w:t>
            </w:r>
          </w:p>
        </w:tc>
        <w:tc>
          <w:tcPr>
            <w:tcW w:w="6102" w:type="dxa"/>
            <w:tcBorders/>
          </w:tcPr>
          <w:p>
            <w:pPr>
              <w:pStyle w:val="Normal"/>
              <w:rPr>
                <w:sz w:val="20"/>
              </w:rPr>
            </w:pPr>
            <w:r>
              <w:rPr>
                <w:sz w:val="20"/>
              </w:rPr>
              <w:t>[66 MWh for each hour during the Calculation Period for a total of 47,520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[July,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990" w:end="0"/>
              <w:rPr>
                <w:sz w:val="20"/>
              </w:rPr>
            </w:pPr>
            <w:r>
              <w:rPr>
                <w:sz w:val="20"/>
              </w:rPr>
              <w:t>[August,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990" w:end="0"/>
              <w:rPr>
                <w:sz w:val="20"/>
              </w:rPr>
            </w:pPr>
            <w:r>
              <w:rPr>
                <w:sz w:val="20"/>
              </w:rPr>
              <w:t>[September, 2000]:</w:t>
            </w:r>
          </w:p>
        </w:tc>
        <w:tc>
          <w:tcPr>
            <w:tcW w:w="6102" w:type="dxa"/>
            <w:tcBorders/>
          </w:tcPr>
          <w:p>
            <w:pPr>
              <w:pStyle w:val="Index1"/>
              <w:rPr>
                <w:rFonts w:ascii="Times New Roman" w:hAnsi="Times New Roman" w:cs="Times New Roman"/>
              </w:rPr>
            </w:pPr>
            <w:r>
              <w:rPr>
                <w:rFonts w:cs="Times New Roman" w:ascii="Times New Roman" w:hAnsi="Times New Roman"/>
              </w:rPr>
              <w:t>[66 MWh for each hour during the Calculation Period for a total of 47,520 MWh]</w:t>
            </w:r>
          </w:p>
        </w:tc>
      </w:tr>
      <w:tr>
        <w:trPr/>
        <w:tc>
          <w:tcPr>
            <w:tcW w:w="4338" w:type="dxa"/>
            <w:tcBorders/>
          </w:tcPr>
          <w:p>
            <w:pPr>
              <w:pStyle w:val="Normal"/>
              <w:snapToGrid w:val="false"/>
              <w:ind w:firstLine="990" w:end="0"/>
              <w:rPr>
                <w:rFonts w:ascii="Times New Roman" w:hAnsi="Times New Roman" w:cs="Times New Roman"/>
                <w:sz w:val="20"/>
              </w:rPr>
            </w:pPr>
            <w:r>
              <w:rPr>
                <w:rFonts w:cs="Times New Roman"/>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[October,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[November, 2000]:</w:t>
            </w:r>
          </w:p>
        </w:tc>
        <w:tc>
          <w:tcPr>
            <w:tcW w:w="6102" w:type="dxa"/>
            <w:tcBorders/>
          </w:tcPr>
          <w:p>
            <w:pPr>
              <w:pStyle w:val="Normal"/>
              <w:rPr>
                <w:sz w:val="20"/>
              </w:rPr>
            </w:pPr>
            <w:r>
              <w:rPr>
                <w:sz w:val="20"/>
              </w:rPr>
              <w:t>[66 MWh for each hour during the Calculation Period for a total of 47,520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[December,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[January, 2001]:</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720" w:end="0"/>
              <w:rPr>
                <w:sz w:val="20"/>
              </w:rPr>
            </w:pPr>
            <w:r>
              <w:rPr>
                <w:sz w:val="20"/>
              </w:rPr>
              <w:t>Total Notional Quantity:</w:t>
            </w:r>
          </w:p>
        </w:tc>
        <w:tc>
          <w:tcPr>
            <w:tcW w:w="6102" w:type="dxa"/>
            <w:tcBorders/>
          </w:tcPr>
          <w:p>
            <w:pPr>
              <w:pStyle w:val="Normal"/>
              <w:rPr>
                <w:sz w:val="20"/>
              </w:rPr>
            </w:pPr>
            <w:r>
              <w:rPr>
                <w:sz w:val="20"/>
              </w:rPr>
              <w:t>[579,744 MWh]</w:t>
            </w:r>
          </w:p>
          <w:p>
            <w:pPr>
              <w:pStyle w:val="Normal"/>
              <w:rPr>
                <w:sz w:val="20"/>
              </w:rPr>
            </w:pPr>
            <w:r>
              <w:rPr>
                <w:sz w:val="20"/>
              </w:rPr>
            </w:r>
          </w:p>
        </w:tc>
      </w:tr>
      <w:tr>
        <w:trPr/>
        <w:tc>
          <w:tcPr>
            <w:tcW w:w="4338" w:type="dxa"/>
            <w:tcBorders/>
          </w:tcPr>
          <w:p>
            <w:pPr>
              <w:pStyle w:val="Normal"/>
              <w:ind w:firstLine="720" w:end="0"/>
              <w:rPr>
                <w:sz w:val="20"/>
              </w:rPr>
            </w:pPr>
            <w:r>
              <w:rPr>
                <w:sz w:val="20"/>
              </w:rPr>
              <w:t>Commodity:</w:t>
            </w:r>
          </w:p>
        </w:tc>
        <w:tc>
          <w:tcPr>
            <w:tcW w:w="6102" w:type="dxa"/>
            <w:tcBorders/>
          </w:tcPr>
          <w:p>
            <w:pPr>
              <w:pStyle w:val="Normal"/>
              <w:rPr>
                <w:sz w:val="20"/>
              </w:rPr>
            </w:pPr>
            <w:r>
              <w:rPr>
                <w:sz w:val="20"/>
              </w:rPr>
              <w:t>Electricity</w:t>
            </w:r>
          </w:p>
        </w:tc>
      </w:tr>
      <w:tr>
        <w:trPr/>
        <w:tc>
          <w:tcPr>
            <w:tcW w:w="4338" w:type="dxa"/>
            <w:tcBorders/>
          </w:tcPr>
          <w:p>
            <w:pPr>
              <w:pStyle w:val="Normal"/>
              <w:snapToGrid w:val="false"/>
              <w:ind w:firstLine="72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720" w:end="0"/>
              <w:rPr>
                <w:sz w:val="20"/>
              </w:rPr>
            </w:pPr>
            <w:r>
              <w:rPr>
                <w:sz w:val="20"/>
              </w:rPr>
              <w:t>Commodity Unit:</w:t>
            </w:r>
          </w:p>
        </w:tc>
        <w:tc>
          <w:tcPr>
            <w:tcW w:w="6102" w:type="dxa"/>
            <w:tcBorders/>
          </w:tcPr>
          <w:p>
            <w:pPr>
              <w:pStyle w:val="Normal"/>
              <w:rPr>
                <w:sz w:val="20"/>
              </w:rPr>
            </w:pPr>
            <w:r>
              <w:rPr>
                <w:sz w:val="20"/>
              </w:rPr>
              <w:t>Megawatt hours (“MWh”)</w:t>
            </w:r>
          </w:p>
        </w:tc>
      </w:tr>
      <w:tr>
        <w:trPr/>
        <w:tc>
          <w:tcPr>
            <w:tcW w:w="4338" w:type="dxa"/>
            <w:tcBorders/>
          </w:tcPr>
          <w:p>
            <w:pPr>
              <w:pStyle w:val="Normal"/>
              <w:snapToGrid w:val="false"/>
              <w:ind w:firstLine="72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720" w:end="0"/>
              <w:rPr>
                <w:sz w:val="20"/>
              </w:rPr>
            </w:pPr>
            <w:r>
              <w:rPr>
                <w:sz w:val="20"/>
              </w:rPr>
              <w:t>Trade Date:</w:t>
            </w:r>
          </w:p>
        </w:tc>
        <w:tc>
          <w:tcPr>
            <w:tcW w:w="6102" w:type="dxa"/>
            <w:tcBorders/>
          </w:tcPr>
          <w:p>
            <w:pPr>
              <w:pStyle w:val="Normal"/>
              <w:ind w:hanging="18" w:end="0"/>
              <w:rPr>
                <w:sz w:val="20"/>
              </w:rPr>
            </w:pPr>
            <w:r>
              <w:rPr>
                <w:sz w:val="20"/>
              </w:rPr>
              <w:t>[To be Agreed]</w:t>
            </w:r>
          </w:p>
        </w:tc>
      </w:tr>
      <w:tr>
        <w:trPr/>
        <w:tc>
          <w:tcPr>
            <w:tcW w:w="4338" w:type="dxa"/>
            <w:tcBorders/>
          </w:tcPr>
          <w:p>
            <w:pPr>
              <w:pStyle w:val="Normal"/>
              <w:snapToGrid w:val="false"/>
              <w:ind w:firstLine="720" w:end="0"/>
              <w:jc w:val="both"/>
              <w:rPr>
                <w:sz w:val="20"/>
              </w:rPr>
            </w:pPr>
            <w:r>
              <w:rPr>
                <w:sz w:val="20"/>
              </w:rPr>
            </w:r>
          </w:p>
        </w:tc>
        <w:tc>
          <w:tcPr>
            <w:tcW w:w="6102" w:type="dxa"/>
            <w:tcBorders/>
          </w:tcPr>
          <w:p>
            <w:pPr>
              <w:pStyle w:val="Normal"/>
              <w:snapToGrid w:val="false"/>
              <w:ind w:start="-18" w:end="0"/>
              <w:jc w:val="both"/>
              <w:rPr>
                <w:sz w:val="20"/>
              </w:rPr>
            </w:pPr>
            <w:r>
              <w:rPr>
                <w:sz w:val="20"/>
              </w:rPr>
            </w:r>
          </w:p>
        </w:tc>
      </w:tr>
      <w:tr>
        <w:trPr/>
        <w:tc>
          <w:tcPr>
            <w:tcW w:w="4338" w:type="dxa"/>
            <w:tcBorders/>
          </w:tcPr>
          <w:p>
            <w:pPr>
              <w:pStyle w:val="Normal"/>
              <w:ind w:firstLine="720" w:end="0"/>
              <w:jc w:val="both"/>
              <w:rPr>
                <w:sz w:val="20"/>
              </w:rPr>
            </w:pPr>
            <w:r>
              <w:rPr>
                <w:sz w:val="20"/>
              </w:rPr>
              <w:t>Effective Date:</w:t>
            </w:r>
          </w:p>
        </w:tc>
        <w:tc>
          <w:tcPr>
            <w:tcW w:w="6102" w:type="dxa"/>
            <w:tcBorders/>
          </w:tcPr>
          <w:p>
            <w:pPr>
              <w:pStyle w:val="Normal"/>
              <w:ind w:start="-18" w:end="0"/>
              <w:jc w:val="both"/>
              <w:rPr>
                <w:sz w:val="20"/>
              </w:rPr>
            </w:pPr>
            <w:r>
              <w:rPr>
                <w:sz w:val="20"/>
              </w:rPr>
              <w:t>[February 1, 2000]</w:t>
            </w:r>
          </w:p>
        </w:tc>
      </w:tr>
      <w:tr>
        <w:trPr/>
        <w:tc>
          <w:tcPr>
            <w:tcW w:w="4338" w:type="dxa"/>
            <w:tcBorders/>
          </w:tcPr>
          <w:p>
            <w:pPr>
              <w:pStyle w:val="Normal"/>
              <w:snapToGrid w:val="false"/>
              <w:ind w:firstLine="720" w:end="0"/>
              <w:jc w:val="both"/>
              <w:rPr>
                <w:sz w:val="20"/>
              </w:rPr>
            </w:pPr>
            <w:r>
              <w:rPr>
                <w:sz w:val="20"/>
              </w:rPr>
            </w:r>
          </w:p>
        </w:tc>
        <w:tc>
          <w:tcPr>
            <w:tcW w:w="6102" w:type="dxa"/>
            <w:tcBorders/>
          </w:tcPr>
          <w:p>
            <w:pPr>
              <w:pStyle w:val="Normal"/>
              <w:snapToGrid w:val="false"/>
              <w:ind w:start="-18" w:end="0"/>
              <w:jc w:val="both"/>
              <w:rPr>
                <w:sz w:val="20"/>
              </w:rPr>
            </w:pPr>
            <w:r>
              <w:rPr>
                <w:sz w:val="20"/>
              </w:rPr>
            </w:r>
          </w:p>
        </w:tc>
      </w:tr>
      <w:tr>
        <w:trPr/>
        <w:tc>
          <w:tcPr>
            <w:tcW w:w="4338" w:type="dxa"/>
            <w:tcBorders/>
          </w:tcPr>
          <w:p>
            <w:pPr>
              <w:pStyle w:val="Normal"/>
              <w:ind w:firstLine="720" w:end="0"/>
              <w:jc w:val="both"/>
              <w:rPr>
                <w:sz w:val="20"/>
              </w:rPr>
            </w:pPr>
            <w:r>
              <w:rPr>
                <w:sz w:val="20"/>
              </w:rPr>
              <w:t>Termination Date:</w:t>
            </w:r>
          </w:p>
        </w:tc>
        <w:tc>
          <w:tcPr>
            <w:tcW w:w="6102" w:type="dxa"/>
            <w:tcBorders/>
          </w:tcPr>
          <w:p>
            <w:pPr>
              <w:pStyle w:val="Normal"/>
              <w:ind w:start="-18" w:end="0"/>
              <w:jc w:val="both"/>
              <w:rPr>
                <w:sz w:val="20"/>
              </w:rPr>
            </w:pPr>
            <w:r>
              <w:rPr>
                <w:sz w:val="20"/>
              </w:rPr>
              <w:t>[January 31, 2001]</w:t>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ind w:start="-18" w:end="0"/>
              <w:jc w:val="both"/>
              <w:rPr>
                <w:sz w:val="20"/>
              </w:rPr>
            </w:pPr>
            <w:r>
              <w:rPr>
                <w:sz w:val="20"/>
              </w:rPr>
            </w:r>
          </w:p>
        </w:tc>
      </w:tr>
      <w:tr>
        <w:trPr/>
        <w:tc>
          <w:tcPr>
            <w:tcW w:w="4338" w:type="dxa"/>
            <w:tcBorders/>
          </w:tcPr>
          <w:p>
            <w:pPr>
              <w:pStyle w:val="Normal"/>
              <w:ind w:firstLine="720" w:end="0"/>
              <w:jc w:val="both"/>
              <w:rPr>
                <w:sz w:val="20"/>
              </w:rPr>
            </w:pPr>
            <w:r>
              <w:rPr>
                <w:sz w:val="20"/>
              </w:rPr>
              <w:t>Calculation Period(s):</w:t>
            </w:r>
          </w:p>
        </w:tc>
        <w:tc>
          <w:tcPr>
            <w:tcW w:w="6102" w:type="dxa"/>
            <w:tcBorders/>
          </w:tcPr>
          <w:p>
            <w:pPr>
              <w:pStyle w:val="Normal"/>
              <w:ind w:start="-18" w:end="234"/>
              <w:jc w:val="both"/>
              <w:rPr>
                <w:sz w:val="20"/>
              </w:rPr>
            </w:pPr>
            <w:r>
              <w:rPr>
                <w:sz w:val="20"/>
              </w:rPr>
              <w:t>Each calendar month beginning with [February 1, 2000] and ending [January 31, 2001]</w:t>
            </w:r>
          </w:p>
        </w:tc>
      </w:tr>
    </w:tbl>
    <w:p>
      <w:pPr>
        <w:pStyle w:val="Normal"/>
        <w:ind w:firstLine="720" w:end="-270"/>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0"/>
              </w:rPr>
            </w:pPr>
            <w:r>
              <w:rPr>
                <w:sz w:val="20"/>
              </w:rPr>
              <w:t>Payment Date(s):</w:t>
            </w:r>
          </w:p>
        </w:tc>
        <w:tc>
          <w:tcPr>
            <w:tcW w:w="6102" w:type="dxa"/>
            <w:tcBorders/>
          </w:tcPr>
          <w:p>
            <w:pPr>
              <w:pStyle w:val="Normal"/>
              <w:ind w:start="-18" w:end="234"/>
              <w:jc w:val="both"/>
              <w:rPr>
                <w:sz w:val="20"/>
              </w:rPr>
            </w:pPr>
            <w:r>
              <w:rPr>
                <w:sz w:val="20"/>
              </w:rPr>
              <w:t>The fifth (5th) Business Day following the date on which the Floating Price is determinable for each Calculation Period</w:t>
            </w:r>
          </w:p>
        </w:tc>
      </w:tr>
    </w:tbl>
    <w:p>
      <w:pPr>
        <w:pStyle w:val="Normal"/>
        <w:ind w:end="-270"/>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0"/>
              </w:rPr>
              <w:t>Fixed Amount Details:</w:t>
            </w:r>
            <w:r>
              <w:rPr>
                <w:sz w:val="20"/>
              </w:rPr>
              <w:tab/>
            </w:r>
          </w:p>
        </w:tc>
        <w:tc>
          <w:tcPr>
            <w:tcW w:w="6102" w:type="dxa"/>
            <w:tcBorders/>
          </w:tcPr>
          <w:p>
            <w:pPr>
              <w:pStyle w:val="Normal"/>
              <w:snapToGrid w:val="false"/>
              <w:rPr>
                <w:sz w:val="20"/>
              </w:rPr>
            </w:pPr>
            <w:r>
              <w:rPr>
                <w:sz w:val="20"/>
              </w:rPr>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720" w:end="0"/>
              <w:rPr>
                <w:sz w:val="20"/>
              </w:rPr>
            </w:pPr>
            <w:r>
              <w:rPr>
                <w:sz w:val="20"/>
              </w:rPr>
              <w:t>Fixed Price Payer:</w:t>
            </w:r>
          </w:p>
        </w:tc>
        <w:tc>
          <w:tcPr>
            <w:tcW w:w="6102" w:type="dxa"/>
            <w:tcBorders/>
          </w:tcPr>
          <w:p>
            <w:pPr>
              <w:pStyle w:val="Normal"/>
              <w:rPr>
                <w:sz w:val="20"/>
              </w:rPr>
            </w:pPr>
            <w:r>
              <w:rPr>
                <w:sz w:val="20"/>
              </w:rPr>
              <w:t>Counterparty</w:t>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720" w:end="0"/>
              <w:rPr>
                <w:sz w:val="20"/>
              </w:rPr>
            </w:pPr>
            <w:r>
              <w:rPr>
                <w:sz w:val="20"/>
              </w:rPr>
              <w:t>Fixed Price:</w:t>
            </w:r>
          </w:p>
        </w:tc>
        <w:tc>
          <w:tcPr>
            <w:tcW w:w="6102" w:type="dxa"/>
            <w:tcBorders/>
          </w:tcPr>
          <w:p>
            <w:pPr>
              <w:pStyle w:val="Normal"/>
              <w:jc w:val="both"/>
              <w:rPr>
                <w:sz w:val="20"/>
              </w:rPr>
            </w:pPr>
            <w:r>
              <w:rPr>
                <w:sz w:val="20"/>
              </w:rPr>
              <w:t>USD [To be Agreed] per MWh</w:t>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0"/>
              </w:rPr>
              <w:t>Floating Amount Details:</w:t>
            </w:r>
            <w:r>
              <w:rPr>
                <w:sz w:val="20"/>
              </w:rPr>
              <w:tab/>
            </w:r>
          </w:p>
        </w:tc>
        <w:tc>
          <w:tcPr>
            <w:tcW w:w="6102" w:type="dxa"/>
            <w:tcBorders/>
          </w:tcPr>
          <w:p>
            <w:pPr>
              <w:pStyle w:val="Normal"/>
              <w:snapToGrid w:val="false"/>
              <w:rPr>
                <w:sz w:val="20"/>
              </w:rPr>
            </w:pPr>
            <w:r>
              <w:rPr>
                <w:sz w:val="20"/>
              </w:rPr>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rPr>
                <w:sz w:val="20"/>
              </w:rPr>
            </w:pPr>
            <w:r>
              <w:rPr>
                <w:sz w:val="20"/>
              </w:rPr>
            </w:r>
          </w:p>
        </w:tc>
      </w:tr>
      <w:tr>
        <w:trPr>
          <w:trHeight w:val="324" w:hRule="atLeast"/>
        </w:trPr>
        <w:tc>
          <w:tcPr>
            <w:tcW w:w="4338" w:type="dxa"/>
            <w:tcBorders/>
          </w:tcPr>
          <w:p>
            <w:pPr>
              <w:pStyle w:val="Normal"/>
              <w:ind w:firstLine="720" w:end="0"/>
              <w:rPr>
                <w:sz w:val="20"/>
              </w:rPr>
            </w:pPr>
            <w:r>
              <w:rPr>
                <w:sz w:val="20"/>
              </w:rPr>
              <w:t>Floating Price Payer:</w:t>
            </w:r>
          </w:p>
        </w:tc>
        <w:tc>
          <w:tcPr>
            <w:tcW w:w="6102" w:type="dxa"/>
            <w:tcBorders/>
          </w:tcPr>
          <w:p>
            <w:pPr>
              <w:pStyle w:val="Normal"/>
              <w:rPr>
                <w:sz w:val="20"/>
              </w:rPr>
            </w:pPr>
            <w:r>
              <w:rPr>
                <w:sz w:val="20"/>
              </w:rPr>
              <w:t>ENA</w:t>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720" w:end="0"/>
              <w:rPr>
                <w:sz w:val="20"/>
              </w:rPr>
            </w:pPr>
            <w:r>
              <w:rPr>
                <w:sz w:val="20"/>
              </w:rPr>
              <w:t>Floating Price and</w:t>
            </w:r>
          </w:p>
          <w:p>
            <w:pPr>
              <w:pStyle w:val="Normal"/>
              <w:ind w:firstLine="720" w:end="0"/>
              <w:rPr>
                <w:sz w:val="20"/>
              </w:rPr>
            </w:pPr>
            <w:r>
              <w:rPr>
                <w:sz w:val="20"/>
              </w:rPr>
              <w:t>Pricing Date(s):</w:t>
            </w:r>
          </w:p>
        </w:tc>
        <w:tc>
          <w:tcPr>
            <w:tcW w:w="6102" w:type="dxa"/>
            <w:tcBorders/>
          </w:tcPr>
          <w:p>
            <w:pPr>
              <w:pStyle w:val="Normal"/>
              <w:snapToGrid w:val="false"/>
              <w:jc w:val="both"/>
              <w:rPr>
                <w:sz w:val="20"/>
              </w:rPr>
            </w:pPr>
            <w:r>
              <w:rPr>
                <w:sz w:val="20"/>
              </w:rPr>
            </w:r>
          </w:p>
          <w:p>
            <w:pPr>
              <w:pStyle w:val="Normal"/>
              <w:ind w:end="324"/>
              <w:jc w:val="both"/>
              <w:rPr>
                <w:sz w:val="20"/>
              </w:rPr>
            </w:pPr>
            <w:r>
              <w:rPr>
                <w:sz w:val="20"/>
              </w:rPr>
              <w:t xml:space="preserve">The average of the daily MONOMIC Prices at the Ezeiza Market Node Center for each day during the Calculation Period. </w:t>
            </w:r>
          </w:p>
          <w:p>
            <w:pPr>
              <w:pStyle w:val="Normal"/>
              <w:ind w:end="324"/>
              <w:jc w:val="both"/>
              <w:rPr>
                <w:sz w:val="20"/>
              </w:rPr>
            </w:pPr>
            <w:r>
              <w:rPr>
                <w:sz w:val="20"/>
              </w:rPr>
            </w:r>
          </w:p>
          <w:p>
            <w:pPr>
              <w:pStyle w:val="Normal"/>
              <w:ind w:end="324"/>
              <w:jc w:val="both"/>
              <w:rPr/>
            </w:pPr>
            <w:r>
              <w:rPr>
                <w:sz w:val="20"/>
              </w:rPr>
              <w:t>“</w:t>
            </w:r>
            <w:r>
              <w:rPr>
                <w:sz w:val="20"/>
              </w:rPr>
              <w:t xml:space="preserve">MONOMIC Price” means the sum of (A) the average hourly price, quoted in Argentine Pesos, for each day as published electronically in the </w:t>
            </w:r>
            <w:r>
              <w:rPr>
                <w:color w:val="000000"/>
                <w:sz w:val="20"/>
                <w:lang w:eastAsia="en-US"/>
              </w:rPr>
              <w:t>“Documento de Transacciones Económicas” (DTE)</w:t>
            </w:r>
            <w:r>
              <w:rPr>
                <w:sz w:val="20"/>
              </w:rPr>
              <w:t xml:space="preserve"> under the annex set forth in the “Generadores” file labeled “A1.7  Precios Del Mercado en $/MWH – Mercado” as published by the “Compañia Administradora del Mercado Mayorista Eléctrico Sociedad Anónima” (“CAMMESA”) and (B), as applicable, either (i) 7.50 Argentine Pesos for those days that are Argentine Business Days or (ii) zero for those days that are not Argentine Business Days.</w:t>
            </w:r>
          </w:p>
          <w:p>
            <w:pPr>
              <w:pStyle w:val="Normal"/>
              <w:ind w:end="324"/>
              <w:jc w:val="both"/>
              <w:rPr>
                <w:sz w:val="20"/>
              </w:rPr>
            </w:pPr>
            <w:r>
              <w:rPr>
                <w:sz w:val="20"/>
              </w:rPr>
            </w:r>
          </w:p>
          <w:p>
            <w:pPr>
              <w:pStyle w:val="Normal"/>
              <w:ind w:end="324"/>
              <w:jc w:val="both"/>
              <w:rPr>
                <w:sz w:val="20"/>
              </w:rPr>
            </w:pPr>
            <w:r>
              <w:rPr>
                <w:color w:val="000000"/>
                <w:sz w:val="20"/>
                <w:lang w:eastAsia="en-US"/>
              </w:rPr>
              <w:t>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is effected. Argentine Peso means the lawful currency of the Republic of Argentina.</w:t>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ind w:end="270"/>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ind w:end="270"/>
        <w:jc w:val="both"/>
        <w:rPr>
          <w:sz w:val="20"/>
        </w:rPr>
      </w:pPr>
      <w:r>
        <w:rPr>
          <w:sz w:val="20"/>
        </w:rPr>
      </w:r>
    </w:p>
    <w:p>
      <w:pPr>
        <w:pStyle w:val="Normal"/>
        <w:ind w:end="270"/>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ind w:end="270"/>
        <w:jc w:val="both"/>
        <w:rPr>
          <w:sz w:val="20"/>
        </w:rPr>
      </w:pPr>
      <w:r>
        <w:rPr>
          <w:sz w:val="20"/>
        </w:rPr>
      </w:r>
    </w:p>
    <w:p>
      <w:pPr>
        <w:pStyle w:val="Normal"/>
        <w:tabs>
          <w:tab w:val="clear" w:pos="720"/>
          <w:tab w:val="left" w:pos="360" w:leader="none"/>
        </w:tabs>
        <w:ind w:end="270"/>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Eligible Swap Participant</w:t>
      </w:r>
      <w:r>
        <w:rPr>
          <w:sz w:val="20"/>
        </w:rPr>
        <w:t xml:space="preserve">: it constitutes an “eligible swap participant” as such term is defined in  17 C.F.R. Section 35.1(b)(2) and this Confirmation constitutes a “swap agreement” within the meaning of 17 C.F.R. Section 35.1(b)(1); and (c) </w:t>
      </w:r>
      <w:r>
        <w:rPr>
          <w:sz w:val="20"/>
          <w:u w:val="single"/>
        </w:rPr>
        <w:t>Line of Business</w:t>
      </w:r>
      <w:r>
        <w:rPr>
          <w:sz w:val="2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(d) </w:t>
      </w:r>
      <w:r>
        <w:rPr>
          <w:sz w:val="20"/>
          <w:u w:val="single"/>
        </w:rPr>
        <w:t>No Reliance and No Advisory Status</w:t>
      </w:r>
      <w:r>
        <w:rPr>
          <w:sz w:val="20"/>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(f)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ind w:end="270"/>
        <w:jc w:val="both"/>
        <w:rPr>
          <w:sz w:val="20"/>
        </w:rPr>
      </w:pPr>
      <w:r>
        <w:rPr>
          <w:sz w:val="20"/>
        </w:rPr>
      </w:r>
    </w:p>
    <w:p>
      <w:pPr>
        <w:pStyle w:val="Normal"/>
        <w:ind w:end="270"/>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  In addition, the “Automatic Early Termination” provision of Section 6(a) of the ISDA Agreement will not apply to ENA or Counterparty.   </w:t>
      </w:r>
    </w:p>
    <w:p>
      <w:pPr>
        <w:pStyle w:val="Normal"/>
        <w:ind w:end="270"/>
        <w:jc w:val="both"/>
        <w:rPr>
          <w:sz w:val="20"/>
        </w:rPr>
      </w:pPr>
      <w:r>
        <w:rPr>
          <w:sz w:val="20"/>
        </w:rPr>
      </w:r>
    </w:p>
    <w:p>
      <w:pPr>
        <w:pStyle w:val="Normal"/>
        <w:ind w:end="270"/>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  In addition, Counterparty irrevocably waives the right to demand that ENA post a bond or guaranty (“cautio judicatum solvi”) in any proceeding initiated against Counterparty in the courts of Argentina for the enforcement of the arbitration award or otherwise.  The provisions of the preceding sentence will survive the termination of the Transaction or the ISDA Agreement.”</w:t>
      </w:r>
    </w:p>
    <w:p>
      <w:pPr>
        <w:pStyle w:val="Normal"/>
        <w:ind w:end="270"/>
        <w:jc w:val="both"/>
        <w:rPr>
          <w:sz w:val="20"/>
        </w:rPr>
      </w:pPr>
      <w:r>
        <w:rPr>
          <w:sz w:val="20"/>
        </w:rPr>
      </w:r>
    </w:p>
    <w:p>
      <w:pPr>
        <w:pStyle w:val="Normal"/>
        <w:ind w:end="270"/>
        <w:jc w:val="both"/>
        <w:rPr/>
      </w:pPr>
      <w:r>
        <w:rPr>
          <w:sz w:val="20"/>
        </w:rPr>
        <w:t>8.</w:t>
        <w:tab/>
      </w:r>
      <w:r>
        <w:rPr>
          <w:b/>
          <w:sz w:val="20"/>
          <w:u w:val="single"/>
        </w:rPr>
        <w:t>Confidentiality</w:t>
      </w:r>
      <w:r>
        <w:rPr>
          <w:b/>
          <w:sz w:val="20"/>
        </w:rPr>
        <w:t>.</w:t>
      </w:r>
      <w:r>
        <w:rPr>
          <w:sz w:val="20"/>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ind w:end="270"/>
        <w:jc w:val="both"/>
        <w:rPr>
          <w:sz w:val="20"/>
        </w:rPr>
      </w:pPr>
      <w:r>
        <w:rPr>
          <w:sz w:val="20"/>
        </w:rPr>
      </w:r>
    </w:p>
    <w:p>
      <w:pPr>
        <w:pStyle w:val="Normal"/>
        <w:ind w:end="270"/>
        <w:jc w:val="both"/>
        <w:rPr/>
      </w:pPr>
      <w:r>
        <w:rPr>
          <w:sz w:val="20"/>
        </w:rPr>
        <w:t>9.</w:t>
        <w:tab/>
      </w:r>
      <w:r>
        <w:rPr>
          <w:b/>
          <w:sz w:val="20"/>
          <w:u w:val="single"/>
        </w:rPr>
        <w:t>Calculation Agent</w:t>
      </w:r>
      <w:r>
        <w:rPr>
          <w:b/>
          <w:sz w:val="20"/>
        </w:rPr>
        <w:t>.</w:t>
      </w:r>
      <w:r>
        <w:rPr>
          <w:sz w:val="20"/>
        </w:rPr>
        <w:t xml:space="preserve">  The Calculation Agent shall be ENA.</w:t>
      </w:r>
    </w:p>
    <w:p>
      <w:pPr>
        <w:pStyle w:val="Normal"/>
        <w:ind w:end="270"/>
        <w:jc w:val="both"/>
        <w:rPr>
          <w:sz w:val="20"/>
        </w:rPr>
      </w:pPr>
      <w:r>
        <w:rPr>
          <w:sz w:val="20"/>
        </w:rPr>
      </w:r>
    </w:p>
    <w:p>
      <w:pPr>
        <w:pStyle w:val="Normal"/>
        <w:tabs>
          <w:tab w:val="clear" w:pos="720"/>
          <w:tab w:val="left" w:pos="810" w:leader="none"/>
          <w:tab w:val="left" w:pos="1170" w:leader="none"/>
        </w:tabs>
        <w:ind w:end="270"/>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approximation of the amount of such damages, and not a penalty. </w:t>
      </w:r>
      <w:r>
        <w:rPr>
          <w:sz w:val="20"/>
        </w:rPr>
        <w:t xml:space="preserve"> </w:t>
      </w:r>
    </w:p>
    <w:p>
      <w:pPr>
        <w:pStyle w:val="Normal"/>
        <w:ind w:end="270"/>
        <w:rPr>
          <w:sz w:val="20"/>
        </w:rPr>
      </w:pPr>
      <w:r>
        <w:rPr>
          <w:sz w:val="20"/>
        </w:rPr>
      </w:r>
    </w:p>
    <w:p>
      <w:pPr>
        <w:pStyle w:val="Normal"/>
        <w:ind w:end="270"/>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ind w:end="270"/>
        <w:jc w:val="both"/>
        <w:rPr>
          <w:sz w:val="20"/>
        </w:rPr>
      </w:pPr>
      <w:r>
        <w:rPr>
          <w:sz w:val="20"/>
        </w:rPr>
      </w:r>
    </w:p>
    <w:p>
      <w:pPr>
        <w:pStyle w:val="Normal"/>
        <w:ind w:firstLine="720" w:end="27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Index1"/>
        <w:ind w:end="270"/>
        <w:rPr>
          <w:rFonts w:ascii="Times New Roman" w:hAnsi="Times New Roman" w:cs="Times New Roman"/>
          <w:sz w:val="20"/>
        </w:rPr>
      </w:pPr>
      <w:r>
        <w:rPr>
          <w:rFonts w:cs="Times New Roman" w:ascii="Times New Roman" w:hAnsi="Times New Roman"/>
          <w:sz w:val="20"/>
        </w:rPr>
      </w:r>
    </w:p>
    <w:p>
      <w:pPr>
        <w:pStyle w:val="Normal"/>
        <w:ind w:end="270"/>
        <w:jc w:val="both"/>
        <w:rPr/>
      </w:pPr>
      <w:r>
        <w:rPr>
          <w:sz w:val="20"/>
        </w:rPr>
        <w:t>12.</w:t>
        <w:tab/>
      </w:r>
      <w:r>
        <w:rPr>
          <w:b/>
          <w:sz w:val="20"/>
          <w:u w:val="single"/>
        </w:rPr>
        <w:t>Miscellaneous</w:t>
      </w:r>
      <w:r>
        <w:rPr>
          <w:b/>
          <w:sz w:val="20"/>
        </w:rPr>
        <w:t>.</w:t>
      </w:r>
    </w:p>
    <w:p>
      <w:pPr>
        <w:pStyle w:val="Normal"/>
        <w:ind w:end="270"/>
        <w:jc w:val="both"/>
        <w:rPr>
          <w:b/>
          <w:sz w:val="20"/>
          <w:u w:val="single"/>
        </w:rPr>
      </w:pPr>
      <w:r>
        <w:rPr>
          <w:b/>
          <w:sz w:val="20"/>
          <w:u w:val="single"/>
        </w:rPr>
      </w:r>
    </w:p>
    <w:p>
      <w:pPr>
        <w:pStyle w:val="Normal"/>
        <w:ind w:end="270"/>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ind w:end="270"/>
        <w:jc w:val="both"/>
        <w:rPr>
          <w:sz w:val="20"/>
        </w:rPr>
      </w:pPr>
      <w:r>
        <w:rPr>
          <w:sz w:val="20"/>
        </w:rPr>
      </w:r>
    </w:p>
    <w:p>
      <w:pPr>
        <w:pStyle w:val="Normal"/>
        <w:numPr>
          <w:ilvl w:val="0"/>
          <w:numId w:val="3"/>
        </w:numPr>
        <w:ind w:hanging="360" w:start="360" w:end="270"/>
        <w:jc w:val="both"/>
        <w:rPr>
          <w:sz w:val="20"/>
        </w:rPr>
      </w:pPr>
      <w:r>
        <w:rPr>
          <w:sz w:val="20"/>
        </w:rPr>
        <w:t>This Agreement and the Credit Support Documents are in proper legal form for the enforcement thereof in Argentina against Counterparty; provided that in the event any legal proceedings are brought in the courts of Argentina, a Spanish translation of the documents required in such proceedings, including this Confirmation and the ISDA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Confirmation or the ISDA Agreement or under any Transaction by the party subject to such restrictions shall nevertheless be made in U.S. Dollars.  The party subject to such restrictions shall obtain U.S. Dollars through (i) the sale of Bonos Externos de la Republica Argentina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ind w:end="270"/>
        <w:rPr>
          <w:sz w:val="20"/>
        </w:rPr>
      </w:pPr>
      <w:r>
        <w:rPr>
          <w:sz w:val="20"/>
        </w:rPr>
      </w:r>
    </w:p>
    <w:p>
      <w:pPr>
        <w:pStyle w:val="Normal"/>
        <w:ind w:end="270"/>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ind w:end="270"/>
        <w:jc w:val="both"/>
        <w:rPr>
          <w:sz w:val="20"/>
        </w:rPr>
      </w:pPr>
      <w:r>
        <w:rPr>
          <w:sz w:val="20"/>
        </w:rPr>
      </w:r>
    </w:p>
    <w:p>
      <w:pPr>
        <w:pStyle w:val="Normal"/>
        <w:ind w:end="270"/>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(B) copies of its articles of incorporation and bylaws (or other constituent documents), and (C) a certificate or certificates of incumbency or powers of attorney, including the authority to choose applicable law and to submit disputes arising from this Confirmation or the ISDA Agreement  to non-Argentine courts or alternative dispute resolution methods, and specimen signatures of its officers or authorized representatives executing this Confirmation.</w:t>
      </w:r>
    </w:p>
    <w:p>
      <w:pPr>
        <w:pStyle w:val="Justified"/>
        <w:spacing w:before="0" w:after="0"/>
        <w:ind w:end="270"/>
        <w:rPr>
          <w:rFonts w:ascii="Times New Roman" w:hAnsi="Times New Roman" w:cs="Times New Roman"/>
          <w:sz w:val="20"/>
        </w:rPr>
      </w:pPr>
      <w:r>
        <w:rPr>
          <w:rFonts w:cs="Times New Roman" w:ascii="Times New Roman" w:hAnsi="Times New Roman"/>
          <w:sz w:val="20"/>
        </w:rPr>
      </w:r>
    </w:p>
    <w:p>
      <w:pPr>
        <w:pStyle w:val="Heading2"/>
        <w:rPr>
          <w:rFonts w:ascii="Times New Roman" w:hAnsi="Times New Roman" w:cs="Times New Roman"/>
        </w:rPr>
      </w:pPr>
      <w:r>
        <w:rPr>
          <w:rFonts w:cs="Times New Roman" w:ascii="Times New Roman" w:hAnsi="Times New Roman"/>
        </w:rPr>
      </w:r>
    </w:p>
    <w:p>
      <w:pPr>
        <w:pStyle w:val="Heading2"/>
        <w:rPr/>
      </w:pPr>
      <w:r>
        <w:rPr/>
      </w:r>
    </w:p>
    <w:p>
      <w:pPr>
        <w:pStyle w:val="Normal"/>
        <w:ind w:end="270"/>
        <w:rPr>
          <w:sz w:val="20"/>
        </w:rPr>
      </w:pPr>
      <w:r>
        <w:rPr>
          <w:sz w:val="20"/>
        </w:rPr>
        <w:t>13.</w:t>
        <w:tab/>
      </w:r>
      <w:r>
        <w:rPr>
          <w:b/>
          <w:sz w:val="20"/>
          <w:u w:val="single"/>
        </w:rPr>
        <w:t>Offices</w:t>
      </w:r>
      <w:r>
        <w:rPr>
          <w:b/>
          <w:sz w:val="20"/>
        </w:rPr>
        <w:t>.</w:t>
      </w:r>
    </w:p>
    <w:p>
      <w:pPr>
        <w:pStyle w:val="Normal"/>
        <w:keepNext w:val="true"/>
        <w:ind w:end="270"/>
        <w:rPr>
          <w:sz w:val="20"/>
        </w:rPr>
      </w:pPr>
      <w:r>
        <w:rPr>
          <w:sz w:val="20"/>
        </w:rPr>
      </w:r>
    </w:p>
    <w:p>
      <w:pPr>
        <w:pStyle w:val="Normal"/>
        <w:keepNext w:val="true"/>
        <w:ind w:end="270"/>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ind w:end="270"/>
        <w:jc w:val="both"/>
        <w:rPr>
          <w:sz w:val="20"/>
        </w:rPr>
      </w:pPr>
      <w:r>
        <w:rPr>
          <w:sz w:val="20"/>
        </w:rPr>
      </w:r>
    </w:p>
    <w:p>
      <w:pPr>
        <w:pStyle w:val="Normal"/>
        <w:ind w:end="270"/>
        <w:jc w:val="both"/>
        <w:rPr>
          <w:sz w:val="20"/>
        </w:rPr>
      </w:pPr>
      <w:r>
        <w:rPr>
          <w:sz w:val="20"/>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ind w:end="270"/>
        <w:jc w:val="both"/>
        <w:rPr>
          <w:sz w:val="20"/>
        </w:rPr>
      </w:pPr>
      <w:r>
        <w:rPr>
          <w:sz w:val="20"/>
        </w:rPr>
      </w:r>
    </w:p>
    <w:p>
      <w:pPr>
        <w:pStyle w:val="Normal"/>
        <w:keepNext w:val="true"/>
        <w:ind w:end="270"/>
        <w:jc w:val="both"/>
        <w:rPr>
          <w:b/>
          <w:sz w:val="20"/>
          <w:u w:val="single"/>
        </w:rPr>
      </w:pPr>
      <w:r>
        <w:rPr>
          <w:sz w:val="20"/>
        </w:rPr>
        <w:t>14.</w:t>
        <w:tab/>
      </w:r>
      <w:r>
        <w:rPr>
          <w:b/>
          <w:sz w:val="20"/>
          <w:u w:val="single"/>
        </w:rPr>
        <w:t>Credit or Other Special Provisions</w:t>
      </w:r>
      <w:r>
        <w:rPr>
          <w:b/>
          <w:sz w:val="20"/>
        </w:rPr>
        <w:t>.</w:t>
      </w:r>
    </w:p>
    <w:p>
      <w:pPr>
        <w:pStyle w:val="Normal"/>
        <w:keepNext w:val="true"/>
        <w:ind w:end="270"/>
        <w:jc w:val="both"/>
        <w:rPr>
          <w:b/>
          <w:sz w:val="20"/>
          <w:u w:val="single"/>
        </w:rPr>
      </w:pPr>
      <w:r>
        <w:rPr>
          <w:b/>
          <w:sz w:val="20"/>
          <w:u w:val="single"/>
        </w:rPr>
      </w:r>
    </w:p>
    <w:p>
      <w:pPr>
        <w:pStyle w:val="Normal"/>
        <w:keepNext w:val="true"/>
        <w:ind w:end="270"/>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r>
        <w:rPr>
          <w:color w:val="FF0000"/>
          <w:sz w:val="20"/>
        </w:rPr>
        <w:t>]</w:t>
      </w:r>
    </w:p>
    <w:p>
      <w:pPr>
        <w:pStyle w:val="Normal"/>
        <w:ind w:end="270"/>
        <w:jc w:val="both"/>
        <w:rPr>
          <w:sz w:val="20"/>
        </w:rPr>
      </w:pPr>
      <w:r>
        <w:rPr>
          <w:sz w:val="20"/>
        </w:rPr>
      </w:r>
    </w:p>
    <w:p>
      <w:pPr>
        <w:pStyle w:val="BodyText"/>
        <w:ind w:end="270"/>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BodyText"/>
        <w:rPr/>
      </w:pPr>
      <w:r>
        <w:rPr/>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r>
    </w:p>
    <w:p>
      <w:pPr>
        <w:pStyle w:val="Normal"/>
        <w:keepNext w:val="true"/>
        <w:rPr/>
      </w:pPr>
      <w:r>
        <w:rPr>
          <w:sz w:val="20"/>
        </w:rPr>
        <w:t>Name:</w:t>
        <w:tab/>
        <w:tab/>
      </w:r>
      <w:r>
        <w:rPr>
          <w:b/>
          <w:sz w:val="24"/>
        </w:rPr>
        <w:t>DRAFT</w:t>
      </w:r>
    </w:p>
    <w:p>
      <w:pPr>
        <w:pStyle w:val="Normal"/>
        <w:keepNext w:val="true"/>
        <w:rPr>
          <w:sz w:val="20"/>
        </w:rPr>
      </w:pPr>
      <w:r>
        <w:rPr>
          <w:sz w:val="20"/>
        </w:rPr>
        <w:t>Title:</w:t>
        <w:tab/>
      </w:r>
    </w:p>
    <w:p>
      <w:pPr>
        <w:pStyle w:val="Normal"/>
        <w:keepNext w:val="true"/>
        <w:rPr>
          <w:sz w:val="20"/>
        </w:rPr>
      </w:pPr>
      <w:r>
        <w:rPr>
          <w:sz w:val="20"/>
        </w:rPr>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color w:val="FF0000"/>
          <w:sz w:val="20"/>
        </w:rPr>
      </w:pPr>
      <w:r>
        <w:rPr>
          <w:b/>
          <w:sz w:val="20"/>
        </w:rPr>
        <w:t>EMPRESA DISTRIBUIDORA DE ENERGIA NORTE S.A</w:t>
      </w:r>
    </w:p>
    <w:p>
      <w:pPr>
        <w:pStyle w:val="Normal"/>
        <w:keepNext w:val="true"/>
        <w:rPr>
          <w:color w:val="FF0000"/>
          <w:sz w:val="20"/>
        </w:rPr>
      </w:pPr>
      <w:r>
        <w:rPr>
          <w:color w:val="FF0000"/>
          <w:sz w:val="20"/>
        </w:rPr>
      </w:r>
    </w:p>
    <w:p>
      <w:pPr>
        <w:pStyle w:val="Normal"/>
        <w:keepNext w:val="true"/>
        <w:rPr>
          <w:sz w:val="20"/>
        </w:rPr>
      </w:pPr>
      <w:r>
        <w:rPr>
          <w:sz w:val="20"/>
        </w:rPr>
        <w:t>By:</w:t>
        <w:tab/>
      </w:r>
    </w:p>
    <w:p>
      <w:pPr>
        <w:pStyle w:val="Normal"/>
        <w:keepNext w:val="true"/>
        <w:rPr>
          <w:b/>
          <w:sz w:val="20"/>
        </w:rPr>
      </w:pPr>
      <w:r>
        <w:rPr>
          <w:sz w:val="20"/>
        </w:rPr>
        <w:t>Name:</w:t>
        <w:tab/>
      </w:r>
      <w:r>
        <w:rPr>
          <w:sz w:val="24"/>
        </w:rPr>
        <w:tab/>
      </w:r>
      <w:r>
        <w:rPr>
          <w:b/>
          <w:sz w:val="24"/>
        </w:rPr>
        <w:t>DRAFT</w:t>
      </w:r>
    </w:p>
    <w:p>
      <w:pPr>
        <w:sectPr>
          <w:headerReference w:type="default" r:id="rId3"/>
          <w:headerReference w:type="first" r:id="rId4"/>
          <w:footerReference w:type="default" r:id="rId5"/>
          <w:footerReference w:type="first" r:id="rId6"/>
          <w:type w:val="nextPage"/>
          <w:pgSz w:w="12240" w:h="15840"/>
          <w:pgMar w:left="1296" w:right="907" w:gutter="0" w:header="720" w:top="1152" w:footer="720" w:bottom="1152"/>
          <w:pgNumType w:start="1" w:fmt="decimal"/>
          <w:formProt w:val="false"/>
          <w:titlePg/>
          <w:textDirection w:val="lrTb"/>
          <w:docGrid w:type="default" w:linePitch="360" w:charSpace="0"/>
        </w:sectPr>
        <w:pStyle w:val="Normal"/>
        <w:keepNext w:val="true"/>
        <w:rPr>
          <w:sz w:val="20"/>
        </w:rPr>
      </w:pPr>
      <w:r>
        <w:rPr>
          <w:sz w:val="20"/>
        </w:rPr>
        <w:t>Title:</w:t>
        <w:tab/>
      </w:r>
    </w:p>
    <w:p>
      <w:pPr>
        <w:pStyle w:val="Normal"/>
        <w:keepNext w:val="true"/>
        <w:jc w:val="center"/>
        <w:rPr>
          <w:b/>
          <w:color w:val="000000"/>
          <w:sz w:val="20"/>
          <w:u w:val="single"/>
        </w:rPr>
      </w:pPr>
      <w:r>
        <w:rPr>
          <w:b/>
          <w:color w:val="000000"/>
          <w:sz w:val="20"/>
          <w:u w:val="single"/>
        </w:rPr>
        <w:t>EXHIBIT 1</w:t>
      </w:r>
    </w:p>
    <w:p>
      <w:pPr>
        <w:pStyle w:val="Heading4"/>
        <w:ind w:start="0" w:end="1440"/>
        <w:rPr>
          <w:b/>
          <w:color w:val="000000"/>
          <w:sz w:val="20"/>
          <w:u w:val="single"/>
        </w:rPr>
      </w:pPr>
      <w:r>
        <w:rPr>
          <w:b/>
          <w:color w:val="000000"/>
          <w:sz w:val="20"/>
          <w:u w:val="single"/>
        </w:rPr>
      </w:r>
    </w:p>
    <w:p>
      <w:pPr>
        <w:pStyle w:val="Normal"/>
        <w:jc w:val="center"/>
        <w:rPr>
          <w:color w:val="000000"/>
          <w:sz w:val="20"/>
        </w:rPr>
      </w:pPr>
      <w:r>
        <w:rPr>
          <w:color w:val="000000"/>
          <w:sz w:val="20"/>
        </w:rPr>
        <w:t xml:space="preserve"> </w:t>
      </w:r>
      <w:r>
        <w:rPr>
          <w:color w:val="000000"/>
          <w:sz w:val="20"/>
        </w:rPr>
        <w:t>[Letterhead of Counterparty’s Outside Legal Counsel]</w:t>
      </w:r>
    </w:p>
    <w:p>
      <w:pPr>
        <w:pStyle w:val="Normal"/>
        <w:jc w:val="center"/>
        <w:rPr>
          <w:color w:val="000000"/>
          <w:sz w:val="20"/>
        </w:rPr>
      </w:pPr>
      <w:r>
        <w:rPr>
          <w:color w:val="000000"/>
          <w:sz w:val="20"/>
        </w:rPr>
      </w:r>
    </w:p>
    <w:p>
      <w:pPr>
        <w:pStyle w:val="Normal"/>
        <w:jc w:val="center"/>
        <w:rPr>
          <w:color w:val="000000"/>
          <w:sz w:val="20"/>
        </w:rPr>
      </w:pPr>
      <w:r>
        <w:rPr>
          <w:color w:val="000000"/>
          <w:sz w:val="20"/>
        </w:rPr>
      </w:r>
    </w:p>
    <w:p>
      <w:pPr>
        <w:pStyle w:val="Normal"/>
        <w:jc w:val="center"/>
        <w:rPr>
          <w:color w:val="000000"/>
          <w:sz w:val="20"/>
        </w:rPr>
      </w:pPr>
      <w:r>
        <w:rPr>
          <w:color w:val="000000"/>
          <w:sz w:val="20"/>
        </w:rPr>
        <w:t>[Date]</w:t>
      </w:r>
    </w:p>
    <w:p>
      <w:pPr>
        <w:pStyle w:val="Justified"/>
        <w:spacing w:before="0" w:after="0"/>
        <w:rPr>
          <w:rFonts w:ascii="Times New Roman" w:hAnsi="Times New Roman" w:cs="Times New Roman"/>
          <w:color w:val="000000"/>
          <w:sz w:val="20"/>
        </w:rPr>
      </w:pPr>
      <w:r>
        <w:rPr>
          <w:rFonts w:cs="Times New Roman" w:ascii="Times New Roman" w:hAnsi="Times New Roman"/>
          <w:color w:val="000000"/>
          <w:sz w:val="20"/>
        </w:rPr>
      </w:r>
    </w:p>
    <w:p>
      <w:pPr>
        <w:pStyle w:val="Normal"/>
        <w:jc w:val="both"/>
        <w:rPr>
          <w:color w:val="000000"/>
          <w:sz w:val="20"/>
        </w:rPr>
      </w:pPr>
      <w:r>
        <w:rPr>
          <w:color w:val="000000"/>
          <w:sz w:val="20"/>
        </w:rPr>
        <w:t>Enron North America Corp.</w:t>
      </w:r>
    </w:p>
    <w:p>
      <w:pPr>
        <w:pStyle w:val="Normal"/>
        <w:jc w:val="both"/>
        <w:rPr>
          <w:color w:val="000000"/>
          <w:sz w:val="20"/>
        </w:rPr>
      </w:pPr>
      <w:r>
        <w:rPr>
          <w:color w:val="000000"/>
          <w:sz w:val="20"/>
        </w:rPr>
        <w:t>1400 Smith Street</w:t>
      </w:r>
    </w:p>
    <w:p>
      <w:pPr>
        <w:pStyle w:val="Normal"/>
        <w:jc w:val="both"/>
        <w:rPr>
          <w:color w:val="000000"/>
          <w:sz w:val="20"/>
        </w:rPr>
      </w:pPr>
      <w:r>
        <w:rPr>
          <w:color w:val="000000"/>
          <w:sz w:val="20"/>
        </w:rPr>
        <w:t>Houston, Texas 77002</w:t>
      </w:r>
    </w:p>
    <w:p>
      <w:pPr>
        <w:pStyle w:val="Footer"/>
        <w:jc w:val="both"/>
        <w:rPr>
          <w:color w:val="000000"/>
          <w:sz w:val="20"/>
        </w:rPr>
      </w:pPr>
      <w:r>
        <w:rPr>
          <w:color w:val="000000"/>
          <w:sz w:val="20"/>
        </w:rPr>
      </w:r>
    </w:p>
    <w:p>
      <w:pPr>
        <w:pStyle w:val="Normal"/>
        <w:jc w:val="both"/>
        <w:rPr>
          <w:color w:val="000000"/>
          <w:sz w:val="20"/>
        </w:rPr>
      </w:pPr>
      <w:r>
        <w:rPr>
          <w:color w:val="000000"/>
          <w:sz w:val="20"/>
        </w:rPr>
        <w:t>Sir/Madame</w:t>
      </w:r>
    </w:p>
    <w:p>
      <w:pPr>
        <w:pStyle w:val="Normal"/>
        <w:jc w:val="both"/>
        <w:rPr>
          <w:color w:val="000000"/>
          <w:sz w:val="20"/>
        </w:rPr>
      </w:pPr>
      <w:r>
        <w:rPr>
          <w:color w:val="000000"/>
          <w:sz w:val="20"/>
        </w:rPr>
      </w:r>
    </w:p>
    <w:p>
      <w:pPr>
        <w:pStyle w:val="BodyText"/>
        <w:rPr>
          <w:color w:val="000000"/>
        </w:rPr>
      </w:pPr>
      <w:r>
        <w:rPr>
          <w:color w:val="000000"/>
        </w:rPr>
        <w:t>I have acted as counsel to Empresa Distribuidora de Energia Norte, S.A., a corporation (“Party B”), and I am familiar with matters pertaining to the execution and delivery of (i) the ISDA Master Agreement dated as of ___________, 1999 between Enron North America Corp. (“Party A”) and Party B (ii), the Schedule to the ISDA Master Agreement dated as of ___________, 1999, (iii) the ISDA Credit Support Annex thereto dated as of _______, 1999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000000"/>
          <w:sz w:val="20"/>
        </w:rPr>
      </w:pPr>
      <w:r>
        <w:rPr>
          <w:color w:val="000000"/>
          <w:sz w:val="20"/>
        </w:rPr>
      </w:r>
    </w:p>
    <w:p>
      <w:pPr>
        <w:pStyle w:val="Normal"/>
        <w:jc w:val="both"/>
        <w:rPr>
          <w:color w:val="000000"/>
          <w:sz w:val="20"/>
        </w:rPr>
      </w:pPr>
      <w:r>
        <w:rPr>
          <w:color w:val="000000"/>
          <w:sz w:val="20"/>
        </w:rPr>
        <w:t>Terms defined in the Agreement are used herein as therein defined, unless otherwise defined herein.</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In connection with this opinion, I have examined: </w:t>
      </w:r>
    </w:p>
    <w:p>
      <w:pPr>
        <w:pStyle w:val="Normal"/>
        <w:jc w:val="both"/>
        <w:rPr>
          <w:color w:val="000000"/>
          <w:sz w:val="20"/>
        </w:rPr>
      </w:pPr>
      <w:r>
        <w:rPr>
          <w:color w:val="000000"/>
          <w:sz w:val="20"/>
        </w:rPr>
        <w:tab/>
      </w:r>
    </w:p>
    <w:p>
      <w:pPr>
        <w:pStyle w:val="Normal"/>
        <w:jc w:val="both"/>
        <w:rPr>
          <w:color w:val="000000"/>
          <w:sz w:val="20"/>
        </w:rPr>
      </w:pPr>
      <w:r>
        <w:rPr>
          <w:color w:val="000000"/>
          <w:sz w:val="20"/>
        </w:rPr>
        <w:t>1.</w:t>
        <w:tab/>
        <w:t>Party B’s by-laws and all amendments thereto (the “By-laws”).</w:t>
      </w:r>
    </w:p>
    <w:p>
      <w:pPr>
        <w:pStyle w:val="Normal"/>
        <w:ind w:hanging="708" w:start="708" w:end="0"/>
        <w:jc w:val="both"/>
        <w:rPr>
          <w:color w:val="000000"/>
          <w:sz w:val="20"/>
        </w:rPr>
      </w:pPr>
      <w:r>
        <w:rPr>
          <w:color w:val="000000"/>
          <w:sz w:val="20"/>
        </w:rPr>
      </w:r>
    </w:p>
    <w:p>
      <w:pPr>
        <w:pStyle w:val="Normal"/>
        <w:ind w:hanging="708" w:start="708" w:end="0"/>
        <w:jc w:val="both"/>
        <w:rPr>
          <w:color w:val="000000"/>
          <w:sz w:val="20"/>
        </w:rPr>
      </w:pPr>
      <w:r>
        <w:rPr>
          <w:color w:val="000000"/>
          <w:sz w:val="20"/>
        </w:rPr>
        <w:t>2.</w:t>
        <w:tab/>
        <w:t>Resolutions of the Board of Directors of Party B passed on _______, 199_ authorizing and approving the Transactions; and</w:t>
      </w:r>
    </w:p>
    <w:p>
      <w:pPr>
        <w:pStyle w:val="Normal"/>
        <w:jc w:val="both"/>
        <w:rPr>
          <w:color w:val="000000"/>
          <w:sz w:val="20"/>
        </w:rPr>
      </w:pPr>
      <w:r>
        <w:rPr>
          <w:color w:val="000000"/>
          <w:sz w:val="20"/>
        </w:rPr>
      </w:r>
    </w:p>
    <w:p>
      <w:pPr>
        <w:pStyle w:val="Normal"/>
        <w:ind w:hanging="708" w:start="708" w:end="0"/>
        <w:jc w:val="both"/>
        <w:rPr>
          <w:color w:val="000000"/>
          <w:sz w:val="20"/>
        </w:rPr>
      </w:pPr>
      <w:r>
        <w:rPr>
          <w:color w:val="000000"/>
          <w:sz w:val="20"/>
        </w:rPr>
        <w:t>3.</w:t>
        <w:tab/>
        <w:t>All such other documents, laws and instruments I have deemed necessary for the issuance of this opinion, including the Agreement, executed by each party thereto.</w:t>
      </w:r>
    </w:p>
    <w:p>
      <w:pPr>
        <w:pStyle w:val="Normal"/>
        <w:jc w:val="both"/>
        <w:rPr>
          <w:color w:val="000000"/>
          <w:sz w:val="20"/>
        </w:rPr>
      </w:pPr>
      <w:r>
        <w:rPr>
          <w:color w:val="000000"/>
          <w:sz w:val="20"/>
        </w:rPr>
      </w:r>
    </w:p>
    <w:p>
      <w:pPr>
        <w:pStyle w:val="Normal"/>
        <w:jc w:val="both"/>
        <w:rPr>
          <w:color w:val="000000"/>
          <w:sz w:val="20"/>
        </w:rPr>
      </w:pPr>
      <w:r>
        <w:rPr>
          <w:color w:val="000000"/>
          <w:sz w:val="20"/>
        </w:rPr>
        <w:t>I have also reviewed such matters of law and examined such other documents, records, agreements and certificates as I have considered relevant for the purposes of this opinion.</w:t>
      </w:r>
    </w:p>
    <w:p>
      <w:pPr>
        <w:pStyle w:val="Normal"/>
        <w:jc w:val="both"/>
        <w:rPr>
          <w:color w:val="000000"/>
          <w:sz w:val="20"/>
        </w:rPr>
      </w:pPr>
      <w:r>
        <w:rPr>
          <w:color w:val="000000"/>
          <w:sz w:val="20"/>
        </w:rPr>
      </w:r>
    </w:p>
    <w:p>
      <w:pPr>
        <w:pStyle w:val="Normal"/>
        <w:jc w:val="both"/>
        <w:rPr>
          <w:color w:val="000000"/>
          <w:sz w:val="20"/>
        </w:rPr>
      </w:pPr>
      <w:r>
        <w:rPr>
          <w:color w:val="000000"/>
          <w:sz w:val="20"/>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000000"/>
          <w:sz w:val="20"/>
        </w:rPr>
      </w:pPr>
      <w:r>
        <w:rPr>
          <w:color w:val="000000"/>
          <w:sz w:val="20"/>
        </w:rPr>
      </w:r>
    </w:p>
    <w:p>
      <w:pPr>
        <w:pStyle w:val="Normal"/>
        <w:jc w:val="both"/>
        <w:rPr>
          <w:color w:val="000000"/>
          <w:sz w:val="20"/>
        </w:rPr>
      </w:pPr>
      <w:r>
        <w:rPr>
          <w:color w:val="000000"/>
          <w:sz w:val="20"/>
        </w:rPr>
        <w:t>Based on the foregoing, I am of the opinion that:</w:t>
      </w:r>
    </w:p>
    <w:p>
      <w:pPr>
        <w:pStyle w:val="Normal"/>
        <w:jc w:val="both"/>
        <w:rPr>
          <w:color w:val="000000"/>
          <w:sz w:val="20"/>
        </w:rPr>
      </w:pPr>
      <w:r>
        <w:rPr>
          <w:color w:val="000000"/>
          <w:sz w:val="20"/>
        </w:rPr>
      </w:r>
    </w:p>
    <w:p>
      <w:pPr>
        <w:pStyle w:val="Normal"/>
        <w:jc w:val="both"/>
        <w:rPr>
          <w:color w:val="000000"/>
          <w:sz w:val="20"/>
        </w:rPr>
      </w:pPr>
      <w:r>
        <w:rPr>
          <w:color w:val="000000"/>
          <w:sz w:val="20"/>
        </w:rPr>
        <w:t>1.</w:t>
        <w:tab/>
        <w:t>Party B is duly organized and validly existing under the laws of the jurisdiction of its incorporation.</w:t>
      </w:r>
    </w:p>
    <w:p>
      <w:pPr>
        <w:pStyle w:val="Normal"/>
        <w:jc w:val="both"/>
        <w:rPr>
          <w:color w:val="000000"/>
          <w:sz w:val="20"/>
        </w:rPr>
      </w:pPr>
      <w:r>
        <w:rPr>
          <w:color w:val="000000"/>
          <w:sz w:val="20"/>
        </w:rPr>
      </w:r>
    </w:p>
    <w:p>
      <w:pPr>
        <w:pStyle w:val="Normal"/>
        <w:jc w:val="both"/>
        <w:rPr>
          <w:color w:val="000000"/>
          <w:sz w:val="20"/>
        </w:rPr>
      </w:pPr>
      <w:r>
        <w:rPr>
          <w:color w:val="000000"/>
          <w:sz w:val="20"/>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000000"/>
          <w:sz w:val="20"/>
        </w:rPr>
      </w:pPr>
      <w:r>
        <w:rPr>
          <w:color w:val="000000"/>
          <w:sz w:val="20"/>
        </w:rPr>
      </w:r>
    </w:p>
    <w:p>
      <w:pPr>
        <w:pStyle w:val="Normal"/>
        <w:jc w:val="both"/>
        <w:rPr>
          <w:color w:val="000000"/>
          <w:sz w:val="20"/>
        </w:rPr>
      </w:pPr>
      <w:r>
        <w:rPr>
          <w:color w:val="000000"/>
          <w:sz w:val="20"/>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000000"/>
          <w:sz w:val="20"/>
        </w:rPr>
      </w:pPr>
      <w:r>
        <w:rPr>
          <w:color w:val="000000"/>
          <w:sz w:val="20"/>
        </w:rPr>
      </w:r>
    </w:p>
    <w:p>
      <w:pPr>
        <w:pStyle w:val="Normal"/>
        <w:jc w:val="both"/>
        <w:rPr>
          <w:color w:val="000000"/>
          <w:sz w:val="20"/>
        </w:rPr>
      </w:pPr>
      <w:r>
        <w:rPr>
          <w:color w:val="000000"/>
          <w:sz w:val="20"/>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000000"/>
          <w:sz w:val="20"/>
        </w:rPr>
      </w:pPr>
      <w:r>
        <w:rPr>
          <w:color w:val="000000"/>
          <w:sz w:val="20"/>
        </w:rPr>
      </w:r>
    </w:p>
    <w:p>
      <w:pPr>
        <w:pStyle w:val="Normal"/>
        <w:jc w:val="both"/>
        <w:rPr>
          <w:color w:val="000000"/>
          <w:sz w:val="20"/>
        </w:rPr>
      </w:pPr>
      <w:r>
        <w:rPr>
          <w:color w:val="000000"/>
          <w:sz w:val="20"/>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000000"/>
          <w:sz w:val="20"/>
        </w:rPr>
      </w:pPr>
      <w:r>
        <w:rPr>
          <w:color w:val="000000"/>
          <w:sz w:val="20"/>
        </w:rPr>
      </w:r>
    </w:p>
    <w:p>
      <w:pPr>
        <w:pStyle w:val="Normal"/>
        <w:jc w:val="both"/>
        <w:rPr/>
      </w:pPr>
      <w:r>
        <w:rPr>
          <w:color w:val="000000"/>
          <w:sz w:val="20"/>
        </w:rPr>
        <w:t>6.</w:t>
        <w:tab/>
        <w:t>The Agreement is not subject to any stamp or documentary tax or other similar charge (other than a court tax (“</w:t>
      </w:r>
      <w:r>
        <w:rPr>
          <w:i/>
          <w:color w:val="000000"/>
          <w:sz w:val="20"/>
        </w:rPr>
        <w:t>tasa de justicia”</w:t>
      </w:r>
      <w:r>
        <w:rPr>
          <w:color w:val="000000"/>
          <w:sz w:val="20"/>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000000"/>
          <w:sz w:val="20"/>
        </w:rPr>
      </w:pPr>
      <w:r>
        <w:rPr>
          <w:color w:val="000000"/>
          <w:sz w:val="20"/>
        </w:rPr>
      </w:r>
    </w:p>
    <w:p>
      <w:pPr>
        <w:pStyle w:val="Normal"/>
        <w:jc w:val="both"/>
        <w:rPr/>
      </w:pPr>
      <w:r>
        <w:rPr>
          <w:color w:val="000000"/>
          <w:sz w:val="20"/>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000000"/>
          <w:sz w:val="20"/>
          <w:u w:val="single"/>
        </w:rPr>
        <w:t>provided, however</w:t>
      </w:r>
      <w:r>
        <w:rPr>
          <w:color w:val="000000"/>
          <w:sz w:val="20"/>
        </w:rPr>
        <w:t>, that in connection with enforcement proceedings brought in the City of Buenos Aires or the federal courts of Argentina a court tax (“</w:t>
      </w:r>
      <w:r>
        <w:rPr>
          <w:i/>
          <w:color w:val="000000"/>
          <w:sz w:val="20"/>
        </w:rPr>
        <w:t>tasa de justicia”</w:t>
      </w:r>
      <w:r>
        <w:rPr>
          <w:color w:val="000000"/>
          <w:sz w:val="20"/>
        </w:rPr>
        <w:t xml:space="preserve">) of up to 3% must be paid as referred to in Paragraph 6 above; and </w:t>
      </w:r>
      <w:r>
        <w:rPr>
          <w:color w:val="000000"/>
          <w:sz w:val="20"/>
          <w:u w:val="single"/>
        </w:rPr>
        <w:t>provided, further</w:t>
      </w:r>
      <w:r>
        <w:rPr>
          <w:color w:val="000000"/>
          <w:sz w:val="20"/>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000000"/>
          <w:sz w:val="20"/>
        </w:rPr>
      </w:pPr>
      <w:r>
        <w:rPr>
          <w:color w:val="000000"/>
          <w:sz w:val="20"/>
        </w:rPr>
      </w:r>
    </w:p>
    <w:p>
      <w:pPr>
        <w:pStyle w:val="Normal"/>
        <w:jc w:val="both"/>
        <w:rPr/>
      </w:pPr>
      <w:r>
        <w:rPr>
          <w:color w:val="000000"/>
          <w:sz w:val="20"/>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000000"/>
          <w:sz w:val="20"/>
          <w:u w:val="single"/>
        </w:rPr>
        <w:t>provided</w:t>
      </w:r>
      <w:r>
        <w:rPr>
          <w:color w:val="000000"/>
          <w:sz w:val="20"/>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color w:val="000000"/>
          <w:sz w:val="20"/>
        </w:rPr>
        <w:t>in rem</w:t>
      </w:r>
      <w:r>
        <w:rPr>
          <w:color w:val="000000"/>
          <w:sz w:val="20"/>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 Service of process effected in the manner set forth in Section 13(c) of the Agreement and Part 4(i) of the Schedule to the ISDA Master Agreement will be effective, insofar as Argentine law is concerned, to confer personal jurisdiction over Party B. The irrevocable waiver by Party B of its right to demand that Party A post a bond or guaranty (“</w:t>
      </w:r>
      <w:r>
        <w:rPr>
          <w:i/>
          <w:color w:val="000000"/>
          <w:sz w:val="20"/>
        </w:rPr>
        <w:t>cautio jiudicatum solvi</w:t>
      </w:r>
      <w:r>
        <w:rPr>
          <w:color w:val="000000"/>
          <w:sz w:val="20"/>
        </w:rPr>
        <w:t>”) in any proceedings initiated against Party B in the courts of Argentina is valid, binding and enforceable against Party B.</w:t>
      </w:r>
    </w:p>
    <w:p>
      <w:pPr>
        <w:pStyle w:val="Normal"/>
        <w:jc w:val="both"/>
        <w:rPr>
          <w:color w:val="000000"/>
          <w:sz w:val="20"/>
        </w:rPr>
      </w:pPr>
      <w:r>
        <w:rPr>
          <w:color w:val="000000"/>
          <w:sz w:val="20"/>
        </w:rPr>
      </w:r>
    </w:p>
    <w:p>
      <w:pPr>
        <w:pStyle w:val="Normal"/>
        <w:jc w:val="both"/>
        <w:rPr/>
      </w:pPr>
      <w:r>
        <w:rPr>
          <w:color w:val="000000"/>
          <w:sz w:val="20"/>
        </w:rPr>
        <w:t>9.</w:t>
        <w:tab/>
        <w:t xml:space="preserve">The provisions of Section 2(d) of the Agreement providing for </w:t>
      </w:r>
      <w:r>
        <w:rPr>
          <w:b/>
          <w:color w:val="000000"/>
          <w:sz w:val="20"/>
        </w:rPr>
        <w:t>Deduction or Withholding for Tax</w:t>
      </w:r>
      <w:r>
        <w:rPr>
          <w:color w:val="000000"/>
          <w:sz w:val="20"/>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000000"/>
          <w:sz w:val="20"/>
        </w:rPr>
      </w:pPr>
      <w:r>
        <w:rPr>
          <w:color w:val="000000"/>
          <w:sz w:val="20"/>
        </w:rPr>
      </w:r>
    </w:p>
    <w:p>
      <w:pPr>
        <w:pStyle w:val="Normal"/>
        <w:jc w:val="both"/>
        <w:rPr>
          <w:color w:val="000000"/>
          <w:sz w:val="20"/>
        </w:rPr>
      </w:pPr>
      <w:r>
        <w:rPr>
          <w:color w:val="000000"/>
          <w:sz w:val="20"/>
        </w:rPr>
      </w:r>
    </w:p>
    <w:p>
      <w:pPr>
        <w:pStyle w:val="Normal"/>
        <w:jc w:val="both"/>
        <w:rPr>
          <w:color w:val="000000"/>
          <w:sz w:val="20"/>
        </w:rPr>
      </w:pPr>
      <w:r>
        <w:rPr>
          <w:color w:val="000000"/>
          <w:sz w:val="20"/>
        </w:rPr>
      </w:r>
    </w:p>
    <w:p>
      <w:pPr>
        <w:pStyle w:val="Normal"/>
        <w:jc w:val="both"/>
        <w:rPr>
          <w:color w:val="000000"/>
          <w:sz w:val="20"/>
        </w:rPr>
      </w:pPr>
      <w:r>
        <w:rPr>
          <w:color w:val="000000"/>
          <w:sz w:val="20"/>
        </w:rPr>
      </w:r>
    </w:p>
    <w:p>
      <w:pPr>
        <w:pStyle w:val="Normal"/>
        <w:jc w:val="both"/>
        <w:rPr>
          <w:color w:val="000000"/>
          <w:sz w:val="20"/>
        </w:rPr>
      </w:pPr>
      <w:r>
        <w:rPr>
          <w:color w:val="000000"/>
          <w:sz w:val="20"/>
        </w:rPr>
        <w:t>10.</w:t>
        <w:tab/>
        <w:t>The provisions in the Agreement as to the:</w:t>
      </w:r>
    </w:p>
    <w:p>
      <w:pPr>
        <w:pStyle w:val="Normal"/>
        <w:jc w:val="both"/>
        <w:rPr>
          <w:color w:val="000000"/>
          <w:sz w:val="20"/>
        </w:rPr>
      </w:pPr>
      <w:r>
        <w:rPr>
          <w:color w:val="000000"/>
          <w:sz w:val="20"/>
        </w:rPr>
      </w:r>
    </w:p>
    <w:p>
      <w:pPr>
        <w:pStyle w:val="Normal"/>
        <w:jc w:val="both"/>
        <w:rPr>
          <w:color w:val="000000"/>
          <w:sz w:val="20"/>
        </w:rPr>
      </w:pPr>
      <w:r>
        <w:rPr>
          <w:color w:val="000000"/>
          <w:sz w:val="20"/>
        </w:rPr>
        <w:tab/>
        <w:t>(a) choice of the laws of the State of New York to be the law governing the Agreement;</w:t>
      </w:r>
    </w:p>
    <w:p>
      <w:pPr>
        <w:pStyle w:val="Normal"/>
        <w:jc w:val="both"/>
        <w:rPr>
          <w:color w:val="000000"/>
          <w:sz w:val="20"/>
        </w:rPr>
      </w:pPr>
      <w:r>
        <w:rPr>
          <w:color w:val="000000"/>
          <w:sz w:val="20"/>
        </w:rPr>
      </w:r>
    </w:p>
    <w:p>
      <w:pPr>
        <w:pStyle w:val="Normal"/>
        <w:jc w:val="both"/>
        <w:rPr>
          <w:color w:val="000000"/>
          <w:sz w:val="20"/>
        </w:rPr>
      </w:pPr>
      <w:r>
        <w:rPr>
          <w:color w:val="000000"/>
          <w:sz w:val="20"/>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000000"/>
          <w:sz w:val="20"/>
        </w:rPr>
      </w:pPr>
      <w:r>
        <w:rPr>
          <w:color w:val="000000"/>
          <w:sz w:val="20"/>
        </w:rPr>
      </w:r>
    </w:p>
    <w:p>
      <w:pPr>
        <w:pStyle w:val="Normal"/>
        <w:jc w:val="both"/>
        <w:rPr>
          <w:color w:val="000000"/>
          <w:sz w:val="20"/>
        </w:rPr>
      </w:pPr>
      <w:r>
        <w:rPr>
          <w:color w:val="000000"/>
          <w:sz w:val="20"/>
        </w:rPr>
        <w:tab/>
        <w:t>(c) appointment by Party B of an agent for the service of process in New York, New York, United States of America;</w:t>
      </w:r>
    </w:p>
    <w:p>
      <w:pPr>
        <w:pStyle w:val="Normal"/>
        <w:jc w:val="both"/>
        <w:rPr>
          <w:color w:val="000000"/>
          <w:sz w:val="20"/>
        </w:rPr>
      </w:pPr>
      <w:r>
        <w:rPr>
          <w:color w:val="000000"/>
          <w:sz w:val="20"/>
        </w:rPr>
      </w:r>
    </w:p>
    <w:p>
      <w:pPr>
        <w:pStyle w:val="Normal"/>
        <w:jc w:val="both"/>
        <w:rPr>
          <w:color w:val="000000"/>
          <w:sz w:val="20"/>
        </w:rPr>
      </w:pPr>
      <w:r>
        <w:rPr>
          <w:color w:val="000000"/>
          <w:sz w:val="20"/>
        </w:rPr>
        <w:tab/>
        <w:t>[(d) waiver of sovereign immunity provided in the Agreement.]</w:t>
      </w:r>
    </w:p>
    <w:p>
      <w:pPr>
        <w:pStyle w:val="Normal"/>
        <w:jc w:val="both"/>
        <w:rPr>
          <w:color w:val="000000"/>
          <w:sz w:val="20"/>
        </w:rPr>
      </w:pPr>
      <w:r>
        <w:rPr>
          <w:color w:val="000000"/>
          <w:sz w:val="20"/>
        </w:rPr>
      </w:r>
    </w:p>
    <w:p>
      <w:pPr>
        <w:pStyle w:val="Normal"/>
        <w:jc w:val="both"/>
        <w:rPr/>
      </w:pPr>
      <w:r>
        <w:rPr>
          <w:color w:val="000000"/>
          <w:sz w:val="20"/>
        </w:rPr>
        <w:t xml:space="preserve">are legal, valid, binding and enforceable under Argentine law, </w:t>
      </w:r>
      <w:r>
        <w:rPr>
          <w:color w:val="000000"/>
          <w:sz w:val="20"/>
          <w:u w:val="single"/>
        </w:rPr>
        <w:t>provided</w:t>
      </w:r>
      <w:r>
        <w:rPr>
          <w:color w:val="000000"/>
          <w:sz w:val="20"/>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000000"/>
          <w:sz w:val="20"/>
        </w:rPr>
      </w:pPr>
      <w:r>
        <w:rPr>
          <w:color w:val="000000"/>
          <w:sz w:val="20"/>
        </w:rPr>
      </w:r>
    </w:p>
    <w:p>
      <w:pPr>
        <w:pStyle w:val="Normal"/>
        <w:jc w:val="both"/>
        <w:rPr>
          <w:color w:val="000000"/>
          <w:sz w:val="20"/>
        </w:rPr>
      </w:pPr>
      <w:r>
        <w:rPr>
          <w:color w:val="000000"/>
          <w:sz w:val="20"/>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000000"/>
          <w:sz w:val="20"/>
        </w:rPr>
      </w:pPr>
      <w:r>
        <w:rPr>
          <w:color w:val="000000"/>
          <w:sz w:val="20"/>
        </w:rPr>
      </w:r>
    </w:p>
    <w:p>
      <w:pPr>
        <w:pStyle w:val="Normal"/>
        <w:jc w:val="both"/>
        <w:rPr>
          <w:color w:val="000000"/>
          <w:sz w:val="20"/>
        </w:rPr>
      </w:pPr>
      <w:r>
        <w:rPr>
          <w:color w:val="000000"/>
          <w:sz w:val="20"/>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000000"/>
          <w:sz w:val="20"/>
        </w:rPr>
      </w:pPr>
      <w:r>
        <w:rPr>
          <w:color w:val="000000"/>
          <w:sz w:val="20"/>
        </w:rPr>
      </w:r>
    </w:p>
    <w:p>
      <w:pPr>
        <w:pStyle w:val="Normal"/>
        <w:jc w:val="both"/>
        <w:rPr>
          <w:color w:val="000000"/>
          <w:sz w:val="20"/>
        </w:rPr>
      </w:pPr>
      <w:r>
        <w:rPr>
          <w:color w:val="000000"/>
          <w:sz w:val="20"/>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000000"/>
          <w:sz w:val="20"/>
        </w:rPr>
      </w:pPr>
      <w:r>
        <w:rPr>
          <w:color w:val="000000"/>
          <w:sz w:val="20"/>
        </w:rPr>
      </w:r>
    </w:p>
    <w:p>
      <w:pPr>
        <w:pStyle w:val="Normal"/>
        <w:jc w:val="both"/>
        <w:rPr>
          <w:color w:val="000000"/>
          <w:sz w:val="20"/>
        </w:rPr>
      </w:pPr>
      <w:r>
        <w:rPr>
          <w:color w:val="000000"/>
          <w:sz w:val="20"/>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p>
    <w:p>
      <w:pPr>
        <w:pStyle w:val="Normal"/>
        <w:jc w:val="both"/>
        <w:rPr>
          <w:color w:val="000000"/>
          <w:sz w:val="20"/>
        </w:rPr>
      </w:pPr>
      <w:r>
        <w:rPr>
          <w:color w:val="000000"/>
          <w:sz w:val="20"/>
        </w:rPr>
      </w:r>
    </w:p>
    <w:p>
      <w:pPr>
        <w:pStyle w:val="Normal"/>
        <w:jc w:val="both"/>
        <w:rPr>
          <w:color w:val="000000"/>
          <w:sz w:val="20"/>
        </w:rPr>
      </w:pPr>
      <w:r>
        <w:rPr>
          <w:color w:val="000000"/>
          <w:sz w:val="20"/>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000000"/>
          <w:sz w:val="20"/>
        </w:rPr>
      </w:pPr>
      <w:r>
        <w:rPr>
          <w:color w:val="000000"/>
          <w:sz w:val="20"/>
        </w:rPr>
      </w:r>
    </w:p>
    <w:p>
      <w:pPr>
        <w:pStyle w:val="Normal"/>
        <w:ind w:firstLine="720" w:end="0"/>
        <w:jc w:val="both"/>
        <w:rPr>
          <w:color w:val="000000"/>
          <w:sz w:val="20"/>
        </w:rPr>
      </w:pPr>
      <w:r>
        <w:rPr>
          <w:color w:val="000000"/>
          <w:sz w:val="20"/>
        </w:rPr>
        <w:tab/>
        <w:tab/>
        <w:tab/>
        <w:tab/>
        <w:t>Very truly yours,</w:t>
      </w:r>
    </w:p>
    <w:p>
      <w:pPr>
        <w:pStyle w:val="Normal"/>
        <w:ind w:start="360" w:end="0"/>
        <w:rPr>
          <w:color w:val="000000"/>
          <w:sz w:val="20"/>
        </w:rPr>
      </w:pPr>
      <w:r>
        <w:rPr>
          <w:color w:val="000000"/>
          <w:sz w:val="20"/>
        </w:rPr>
      </w:r>
    </w:p>
    <w:p>
      <w:pPr>
        <w:sectPr>
          <w:headerReference w:type="default" r:id="rId7"/>
          <w:headerReference w:type="first" r:id="rId8"/>
          <w:footerReference w:type="default" r:id="rId9"/>
          <w:footerReference w:type="first" r:id="rId10"/>
          <w:type w:val="nextPage"/>
          <w:pgSz w:w="12240" w:h="15840"/>
          <w:pgMar w:left="1440" w:right="720" w:gutter="0" w:header="720" w:top="1440" w:footer="720" w:bottom="1440"/>
          <w:pgNumType w:start="1" w:fmt="decimal"/>
          <w:formProt w:val="false"/>
          <w:textDirection w:val="lrTb"/>
          <w:docGrid w:type="default" w:linePitch="360" w:charSpace="0"/>
        </w:sectPr>
        <w:pStyle w:val="Header"/>
        <w:rPr>
          <w:color w:val="000000"/>
          <w:sz w:val="20"/>
        </w:rPr>
      </w:pPr>
      <w:r>
        <w:rPr>
          <w:color w:val="000000"/>
          <w:sz w:val="20"/>
        </w:rPr>
      </w:r>
    </w:p>
    <w:p>
      <w:pPr>
        <w:pStyle w:val="Normal"/>
        <w:keepNext w:val="true"/>
        <w:jc w:val="center"/>
        <w:rPr>
          <w:b/>
          <w:color w:val="000000"/>
          <w:sz w:val="20"/>
        </w:rPr>
      </w:pPr>
      <w:r>
        <w:rPr>
          <w:b/>
          <w:color w:val="000000"/>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Empresa Distribuidora de Energia Norte S.A.</w:t>
      </w:r>
    </w:p>
    <w:p>
      <w:pPr>
        <w:pStyle w:val="Normal"/>
        <w:jc w:val="center"/>
        <w:rPr>
          <w:b/>
          <w:sz w:val="20"/>
        </w:rPr>
      </w:pPr>
      <w:r>
        <w:rPr>
          <w:b/>
          <w:sz w:val="20"/>
        </w:rPr>
      </w:r>
    </w:p>
    <w:p>
      <w:pPr>
        <w:pStyle w:val="Normal"/>
        <w:spacing w:lineRule="exact" w:line="480"/>
        <w:jc w:val="both"/>
        <w:rPr>
          <w:b/>
          <w:sz w:val="20"/>
        </w:rPr>
      </w:pPr>
      <w:r>
        <w:rPr>
          <w:b/>
          <w:sz w:val="20"/>
        </w:rPr>
        <w:t>I.  Tax Representations.</w:t>
      </w:r>
    </w:p>
    <w:p>
      <w:pPr>
        <w:pStyle w:val="Normal"/>
        <w:spacing w:lineRule="exact" w:line="240" w:before="240" w:after="0"/>
        <w:ind w:hanging="720" w:start="720" w:end="0"/>
        <w:jc w:val="both"/>
        <w:rPr/>
      </w:pPr>
      <w:r>
        <w:rPr>
          <w:b/>
          <w:sz w:val="20"/>
        </w:rPr>
        <w:t>(a)</w:t>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0"/>
        </w:rPr>
        <w:t>(b)</w:t>
        <w:tab/>
        <w:t>Payee Representations.</w:t>
      </w:r>
      <w:r>
        <w:rPr>
          <w:sz w:val="20"/>
        </w:rPr>
        <w:t xml:space="preserve">  For the purpose of Section 3(f) of the ISDA Agreement, Party A makes no representations, and Party B makes the following representations:</w:t>
      </w:r>
    </w:p>
    <w:p>
      <w:pPr>
        <w:pStyle w:val="Normal"/>
        <w:spacing w:lineRule="exact" w:line="240" w:before="240" w:after="0"/>
        <w:ind w:hanging="720" w:start="1440" w:end="0"/>
        <w:jc w:val="both"/>
        <w:rPr>
          <w:sz w:val="20"/>
        </w:rPr>
      </w:pPr>
      <w:r>
        <w:rPr>
          <w:sz w:val="20"/>
        </w:rPr>
        <w:t>(i)</w:t>
        <w:tab/>
        <w:t>Each payment received or to be received by it in connection with this Confirmation and the ISDA Agreement will not be effectively connected with its conduct of a trade or business in the United States.</w:t>
      </w:r>
    </w:p>
    <w:p>
      <w:pPr>
        <w:pStyle w:val="Normal"/>
        <w:spacing w:lineRule="exact" w:line="240" w:before="240" w:after="0"/>
        <w:ind w:hanging="720" w:start="720" w:end="0"/>
        <w:jc w:val="both"/>
        <w:rPr>
          <w:b/>
          <w:sz w:val="20"/>
        </w:rPr>
      </w:pPr>
      <w:r>
        <w:rPr>
          <w:b/>
          <w:sz w:val="20"/>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W-8, or any successor form, (i) before the first Scheduled Payment Date under this Confirmation and the ISDA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008" w:right="720" w:gutter="0" w:header="720" w:top="1008" w:footer="432" w:bottom="1008"/>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Normal"/>
        <w:jc w:val="center"/>
        <w:rPr>
          <w:b/>
          <w:sz w:val="20"/>
          <w:u w:val="single"/>
        </w:rPr>
      </w:pPr>
      <w:r>
        <w:rPr>
          <w:b/>
          <w:sz w:val="20"/>
          <w:u w:val="single"/>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jc w:val="center"/>
        <w:rPr>
          <w:b/>
          <w:sz w:val="20"/>
        </w:rPr>
      </w:pPr>
      <w:r>
        <w:rPr>
          <w:b/>
          <w:sz w:val="20"/>
        </w:rPr>
      </w:r>
    </w:p>
    <w:p>
      <w:pPr>
        <w:pStyle w:val="Normal"/>
        <w:jc w:val="center"/>
        <w:rPr>
          <w:b/>
          <w:sz w:val="20"/>
        </w:rPr>
      </w:pPr>
      <w:r>
        <w:rPr>
          <w:b/>
          <w:sz w:val="20"/>
        </w:rPr>
        <w:t>EMPRESA DISTRIBUIDORA DE ENERGIA NORTE S.A.</w:t>
      </w:r>
    </w:p>
    <w:p>
      <w:pPr>
        <w:pStyle w:val="Normal"/>
        <w:jc w:val="center"/>
        <w:rPr>
          <w:b/>
          <w:sz w:val="20"/>
        </w:rPr>
      </w:pPr>
      <w:r>
        <w:rPr>
          <w:b/>
          <w:sz w:val="20"/>
        </w:rPr>
      </w:r>
    </w:p>
    <w:p>
      <w:pPr>
        <w:pStyle w:val="BodyText"/>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b/>
          <w:sz w:val="20"/>
          <w:u w:val="single"/>
        </w:rPr>
      </w:pPr>
      <w:r>
        <w:rPr>
          <w:b/>
          <w:sz w:val="20"/>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sz w:val="20"/>
        </w:rPr>
      </w:pPr>
      <w:r>
        <w:rPr>
          <w:sz w:val="20"/>
        </w:rPr>
        <w:t>(i)</w:t>
        <w:tab/>
        <w:t>The following Event of Defaults are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sz w:val="20"/>
        </w:rPr>
      </w:pPr>
      <w:r>
        <w:rPr>
          <w:sz w:val="20"/>
        </w:rPr>
        <w:tab/>
        <w:t>"(ix)</w:t>
        <w:tab/>
        <w:t>Counterparty fails to establish, maintain, renew, substitute or increase the Performance Assurance in accordance with the terms and provisions hereof and the failure continues for two (2) Business Days after notice from ENA; or</w:t>
      </w:r>
    </w:p>
    <w:p>
      <w:pPr>
        <w:pStyle w:val="Normal"/>
        <w:ind w:hanging="720" w:start="720" w:end="0"/>
        <w:jc w:val="both"/>
        <w:rPr>
          <w:sz w:val="20"/>
        </w:rPr>
      </w:pPr>
      <w:r>
        <w:rPr>
          <w:sz w:val="20"/>
        </w:rPr>
      </w:r>
    </w:p>
    <w:p>
      <w:pPr>
        <w:pStyle w:val="BodyTextIndent2"/>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r>
        <w:rPr/>
        <w:t>(x)</w:t>
        <w:tab/>
        <w:tab/>
        <w:t>the failure in the payment when due (whether at maturity, by acceleration, or otherwise) of any obligation in respect of borrowed money, in an aggregate amount in excess of $5,000,000 with respect to Counterparty, or $100,000,000 with respect to ENA,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0"/>
        </w:rPr>
      </w:pPr>
      <w:r>
        <w:rPr>
          <w:sz w:val="20"/>
        </w:rPr>
      </w:r>
    </w:p>
    <w:p>
      <w:pPr>
        <w:pStyle w:val="BodyTextIndent3"/>
        <w:numPr>
          <w:ilvl w:val="0"/>
          <w:numId w:val="5"/>
        </w:numPr>
        <w:rPr>
          <w:sz w:val="20"/>
        </w:rPr>
      </w:pPr>
      <w:r>
        <w:rPr>
          <w:sz w:val="20"/>
        </w:rPr>
        <w:t>The Republic of Argentina or any competent authority thereof declares a moratorium on the payment of Counterparty’s indebtedness; or</w:t>
      </w:r>
    </w:p>
    <w:p>
      <w:pPr>
        <w:pStyle w:val="BodyTextIndent3"/>
        <w:ind w:hanging="0" w:end="0"/>
        <w:rPr>
          <w:sz w:val="20"/>
        </w:rPr>
      </w:pPr>
      <w:r>
        <w:rPr>
          <w:sz w:val="20"/>
        </w:rPr>
      </w:r>
    </w:p>
    <w:p>
      <w:pPr>
        <w:pStyle w:val="BodyTextIndent3"/>
        <w:ind w:hanging="720" w:start="1440" w:end="0"/>
        <w:rPr/>
      </w:pPr>
      <w:r>
        <w:rPr>
          <w:sz w:val="20"/>
        </w:rPr>
        <w:t>(xii)</w:t>
      </w:r>
      <w:r>
        <w:rPr/>
        <w:tab/>
      </w:r>
      <w:r>
        <w:rPr>
          <w:sz w:val="20"/>
        </w:rPr>
        <w:t>any governmental agency having jurisdiction over Counterparty or any of its properties takes or institutes any action or proceeding for its dissolution or suspension of a substantial portion of its operation, which in the aggregate would likely to have a materially adverse effect upon the business and results in the operation of Counterparty and such action or proceeding remains undismissed or unstayed on appeal for a period of 30 days; or</w:t>
      </w:r>
    </w:p>
    <w:p>
      <w:pPr>
        <w:pStyle w:val="Normal"/>
        <w:spacing w:lineRule="atLeast" w:line="240"/>
        <w:ind w:start="720" w:end="0"/>
        <w:jc w:val="both"/>
        <w:rPr>
          <w:sz w:val="20"/>
        </w:rPr>
      </w:pPr>
      <w:r>
        <w:rPr>
          <w:sz w:val="20"/>
        </w:rPr>
      </w:r>
    </w:p>
    <w:p>
      <w:pPr>
        <w:pStyle w:val="Normal"/>
        <w:ind w:hanging="720" w:start="1440" w:end="0"/>
        <w:jc w:val="both"/>
        <w:rPr>
          <w:sz w:val="20"/>
        </w:rPr>
      </w:pPr>
      <w:r>
        <w:rPr>
          <w:sz w:val="20"/>
        </w:rPr>
        <w:t>(xiii)</w:t>
        <w:tab/>
        <w:t>in the case of Counterparty, if AES Corp. ceases to own directly or indirectly, 56.66% or more of the outstanding capital stock or other equity interests of Counterparty having ordinary voting power."</w:t>
      </w:r>
    </w:p>
    <w:p>
      <w:pPr>
        <w:pStyle w:val="Normal"/>
        <w:spacing w:lineRule="exact" w:line="240" w:before="240" w:after="0"/>
        <w:jc w:val="both"/>
        <w:rPr/>
      </w:pPr>
      <w:r>
        <w:rPr>
          <w:sz w:val="20"/>
        </w:rPr>
        <w:t xml:space="preserve">2. </w:t>
        <w:tab/>
      </w:r>
      <w:r>
        <w:rPr>
          <w:sz w:val="20"/>
          <w:u w:val="single"/>
        </w:rPr>
        <w:t>Additional Termination Event</w:t>
      </w:r>
      <w:r>
        <w:rPr>
          <w:sz w:val="20"/>
        </w:rPr>
        <w:t xml:space="preserve">.  The following will constitute an Additional Termination Event with respect to Counterparty for purposes of Section 5(b)(v) of the ISDA Agreement:  </w:t>
      </w:r>
    </w:p>
    <w:p>
      <w:pPr>
        <w:pStyle w:val="Normal"/>
        <w:tabs>
          <w:tab w:val="clear" w:pos="720"/>
          <w:tab w:val="left" w:pos="1440" w:leader="none"/>
          <w:tab w:val="left" w:pos="2160" w:leader="none"/>
          <w:tab w:val="left" w:pos="9000" w:leader="none"/>
        </w:tabs>
        <w:spacing w:lineRule="atLeast" w:line="240"/>
        <w:jc w:val="both"/>
        <w:rPr>
          <w:sz w:val="20"/>
        </w:rPr>
      </w:pPr>
      <w:r>
        <w:rPr>
          <w:sz w:val="20"/>
        </w:rPr>
        <w:tab/>
      </w:r>
    </w:p>
    <w:p>
      <w:pPr>
        <w:pStyle w:val="BodyText"/>
        <w:tabs>
          <w:tab w:val="clear" w:pos="720"/>
          <w:tab w:val="left" w:pos="0" w:leader="none"/>
          <w:tab w:val="left" w:pos="1350" w:leader="none"/>
          <w:tab w:val="left" w:pos="2160" w:leader="none"/>
          <w:tab w:val="left" w:pos="9000" w:leader="none"/>
        </w:tabs>
        <w:spacing w:lineRule="atLeast" w:line="240"/>
        <w:rPr/>
      </w:pPr>
      <w:r>
        <w:rPr/>
        <w:t xml:space="preserve">“ </w:t>
      </w:r>
      <w:r>
        <w:rPr/>
        <w:t xml:space="preserve">An ISDA Master Agreement between Counterparty and ENA is not executed by Counterparty within fifteen (15) Business Days from the Confirmation Date. " </w:t>
        <w:tab/>
      </w:r>
    </w:p>
    <w:p>
      <w:pPr>
        <w:pStyle w:val="Normal"/>
        <w:ind w:hanging="720" w:start="144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 is hereby added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sectPr>
          <w:headerReference w:type="default" r:id="rId15"/>
          <w:headerReference w:type="first" r:id="rId16"/>
          <w:footerReference w:type="default" r:id="rId17"/>
          <w:footerReference w:type="first" r:id="rId18"/>
          <w:type w:val="nextPage"/>
          <w:pgSz w:w="12240" w:h="15840"/>
          <w:pgMar w:left="1440" w:right="720" w:gutter="0" w:header="720" w:top="1440" w:footer="720" w:bottom="1440"/>
          <w:pgNumType w:start="1" w:fmt="decimal"/>
          <w:formProt w:val="false"/>
          <w:textDirection w:val="lrTb"/>
          <w:docGrid w:type="default" w:linePitch="360" w:charSpace="0"/>
        </w:sectPr>
        <w:pStyle w:val="Normal"/>
        <w:jc w:val="both"/>
        <w:rPr>
          <w:b/>
          <w:sz w:val="20"/>
        </w:rPr>
      </w:pPr>
      <w:r>
        <w:rPr>
          <w:sz w:val="20"/>
        </w:rPr>
        <w:t xml:space="preserve">"15.  </w:t>
      </w:r>
      <w:r>
        <w:rPr>
          <w:sz w:val="20"/>
          <w:u w:val="single"/>
        </w:rPr>
        <w:t>Credit Support Documents - Collateral Annex</w:t>
      </w:r>
      <w:r>
        <w:rPr>
          <w:sz w:val="20"/>
        </w:rPr>
        <w:t>.  Counterparty shall establish, maintain, renew, substitute and increase Performance Assurance as (and only to the extent) required by Annex B-1, which shall be a Credit Support Document."</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0"/>
        </w:rPr>
      </w:pPr>
      <w:r>
        <w:rPr>
          <w:sz w:val="20"/>
        </w:rPr>
      </w:r>
    </w:p>
    <w:p>
      <w:pPr>
        <w:pStyle w:val="Normal"/>
        <w:jc w:val="both"/>
        <w:rPr>
          <w:sz w:val="20"/>
        </w:rPr>
      </w:pPr>
      <w:r>
        <w:rPr>
          <w:sz w:val="20"/>
        </w:rPr>
        <w:tab/>
      </w:r>
    </w:p>
    <w:p>
      <w:pPr>
        <w:pStyle w:val="Normal"/>
        <w:jc w:val="both"/>
        <w:rPr/>
      </w:pPr>
      <w:r>
        <w:rPr>
          <w:sz w:val="20"/>
        </w:rPr>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sz w:val="20"/>
        </w:rPr>
        <w:tab/>
        <w:t>(a)</w:t>
        <w:tab/>
        <w:t>"</w:t>
      </w:r>
      <w:r>
        <w:rPr>
          <w:sz w:val="20"/>
          <w:u w:val="single"/>
        </w:rPr>
        <w:t>Additional Amount</w:t>
      </w:r>
      <w:r>
        <w:rPr>
          <w:sz w:val="20"/>
        </w:rPr>
        <w:t>" shall mean, with respect to a party, the amount specified as such for that party in each Confirmation, or if no amount is specified, zero.</w:t>
      </w:r>
    </w:p>
    <w:p>
      <w:pPr>
        <w:pStyle w:val="Normal"/>
        <w:tabs>
          <w:tab w:val="left" w:pos="720" w:leader="none"/>
        </w:tabs>
        <w:ind w:hanging="1440" w:start="1440" w:end="0"/>
        <w:jc w:val="both"/>
        <w:rPr>
          <w:sz w:val="20"/>
        </w:rPr>
      </w:pPr>
      <w:r>
        <w:rPr>
          <w:sz w:val="20"/>
        </w:rPr>
      </w:r>
    </w:p>
    <w:p>
      <w:pPr>
        <w:pStyle w:val="Normal"/>
        <w:numPr>
          <w:ilvl w:val="0"/>
          <w:numId w:val="4"/>
        </w:numPr>
        <w:tabs>
          <w:tab w:val="left" w:pos="720" w:leader="none"/>
        </w:tabs>
        <w:jc w:val="both"/>
        <w:rPr>
          <w:sz w:val="20"/>
        </w:rPr>
      </w:pPr>
      <w:r>
        <w:rPr>
          <w:sz w:val="20"/>
        </w:rPr>
        <w:t>“</w:t>
      </w:r>
      <w:r>
        <w:rPr>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The "</w:t>
      </w:r>
      <w:r>
        <w:rPr>
          <w:sz w:val="20"/>
          <w:u w:val="single"/>
        </w:rPr>
        <w:t>Collateral Requirement</w:t>
      </w:r>
      <w:r>
        <w:rPr>
          <w:sz w:val="20"/>
        </w:rPr>
        <w:t>"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The "</w:t>
      </w:r>
      <w:r>
        <w:rPr>
          <w:sz w:val="20"/>
          <w:u w:val="single"/>
        </w:rPr>
        <w:t>Current Value</w:t>
      </w:r>
      <w:r>
        <w:rPr>
          <w:sz w:val="20"/>
        </w:rPr>
        <w:t>"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t>"</w:t>
      </w:r>
      <w:r>
        <w:rPr>
          <w:sz w:val="20"/>
          <w:u w:val="single"/>
        </w:rPr>
        <w:t>Exposure</w:t>
      </w:r>
      <w:r>
        <w:rPr>
          <w:sz w:val="20"/>
        </w:rPr>
        <w:t>" for a Swap shall mean (1) if a payment amount under the Confirmation (or a payment amount under any other Swap) has been determined and is due but not yet paid, the amount of such payment, with the party (the "</w:t>
      </w:r>
      <w:r>
        <w:rPr>
          <w:sz w:val="20"/>
          <w:u w:val="single"/>
        </w:rPr>
        <w:t>Exposed Party"</w:t>
      </w:r>
      <w:r>
        <w:rPr>
          <w:sz w:val="20"/>
        </w:rPr>
        <w:t>) due and owed such amount having Exposure to the other party (the "</w:t>
      </w:r>
      <w:r>
        <w:rPr>
          <w:sz w:val="20"/>
          <w:u w:val="single"/>
        </w:rPr>
        <w:t>Non-Exposed Party"</w:t>
      </w:r>
      <w:r>
        <w:rPr>
          <w:sz w:val="20"/>
        </w:rPr>
        <w:t>)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t>"</w:t>
      </w:r>
      <w:r>
        <w:rPr>
          <w:sz w:val="20"/>
          <w:u w:val="single"/>
        </w:rPr>
        <w:t>Exposure Threshold</w:t>
      </w:r>
      <w:r>
        <w:rPr>
          <w:sz w:val="20"/>
        </w:rPr>
        <w:t>" shall mean, with respect to Counterparty, $3,000,000;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sz w:val="20"/>
          <w:u w:val="single"/>
        </w:rPr>
        <w:t>Potential Event of Default</w:t>
      </w:r>
      <w:r>
        <w:rPr>
          <w:sz w:val="20"/>
        </w:rPr>
        <w:t>”)) with respect to Counterparty.  The Exposure Threshold assigned to Counterparty shall be the threshold applied to such party for all Swaps.</w:t>
      </w:r>
    </w:p>
    <w:p>
      <w:pPr>
        <w:pStyle w:val="Normal"/>
        <w:tabs>
          <w:tab w:val="left" w:pos="720" w:leader="none"/>
        </w:tabs>
        <w:ind w:hanging="1440" w:start="1440" w:end="0"/>
        <w:jc w:val="both"/>
        <w:rPr>
          <w:sz w:val="20"/>
        </w:rPr>
      </w:pPr>
      <w:r>
        <w:rPr>
          <w:sz w:val="20"/>
        </w:rPr>
      </w:r>
    </w:p>
    <w:p>
      <w:pPr>
        <w:pStyle w:val="Normal"/>
        <w:numPr>
          <w:ilvl w:val="0"/>
          <w:numId w:val="2"/>
        </w:numPr>
        <w:tabs>
          <w:tab w:val="left" w:pos="720" w:leader="none"/>
        </w:tabs>
        <w:jc w:val="both"/>
        <w:rPr>
          <w:sz w:val="20"/>
        </w:rPr>
      </w:pPr>
      <w:r>
        <w:rPr>
          <w:sz w:val="20"/>
        </w:rPr>
        <w:t>"</w:t>
      </w:r>
      <w:r>
        <w:rPr>
          <w:sz w:val="20"/>
          <w:u w:val="single"/>
        </w:rPr>
        <w:t>Exposure Amount</w:t>
      </w:r>
      <w:r>
        <w:rPr>
          <w:sz w:val="20"/>
        </w:rPr>
        <w:t>" for each party shall be calculated for all Swaps by calculating each party's Exposure to the other party in respect of all Swaps.  The party having the greater Exposure Amount at any time (the "</w:t>
      </w:r>
      <w:r>
        <w:rPr>
          <w:sz w:val="20"/>
          <w:u w:val="single"/>
        </w:rPr>
        <w:t>Exposed Party</w:t>
      </w:r>
      <w:r>
        <w:rPr>
          <w:sz w:val="20"/>
        </w:rPr>
        <w:t>") shall be deemed to have a "Net Exposure" to the other party (the "</w:t>
      </w:r>
      <w:r>
        <w:rPr>
          <w:sz w:val="20"/>
          <w:u w:val="single"/>
        </w:rPr>
        <w:t>Non-Exposed Party</w:t>
      </w:r>
      <w:r>
        <w:rPr>
          <w:sz w:val="20"/>
        </w:rPr>
        <w:t>") equal to the difference between its Exposure Amount and the other party's Exposure Amount.</w:t>
      </w:r>
    </w:p>
    <w:p>
      <w:pPr>
        <w:pStyle w:val="Normal"/>
        <w:spacing w:lineRule="atLeast" w:line="240"/>
        <w:ind w:hanging="720" w:start="1440" w:end="144"/>
        <w:jc w:val="both"/>
        <w:rPr>
          <w:sz w:val="20"/>
        </w:rPr>
      </w:pPr>
      <w:r>
        <w:rPr>
          <w:sz w:val="20"/>
        </w:rPr>
      </w:r>
    </w:p>
    <w:p>
      <w:pPr>
        <w:pStyle w:val="Normal"/>
        <w:spacing w:lineRule="atLeast" w:line="240"/>
        <w:ind w:hanging="720" w:start="1440" w:end="144"/>
        <w:jc w:val="both"/>
        <w:rPr/>
      </w:pPr>
      <w:r>
        <w:rPr>
          <w:sz w:val="20"/>
        </w:rPr>
        <w:t>(h)</w:t>
        <w:tab/>
        <w:t>“</w:t>
      </w:r>
      <w:r>
        <w:rPr>
          <w:sz w:val="20"/>
          <w:u w:val="single"/>
        </w:rPr>
        <w:t>Funded Debt</w:t>
      </w:r>
      <w:r>
        <w:rPr>
          <w:i/>
          <w:sz w:val="20"/>
        </w:rPr>
        <w:t>”</w:t>
      </w:r>
      <w:r>
        <w:rPr>
          <w:sz w:val="20"/>
        </w:rPr>
        <w:t xml:space="preserve"> means indebtedness of Counterparty and its consolidated subsidiaries, if any, which by its terms matures more than one year from the date as of which any calculation of Funded Debt is made.</w:t>
      </w:r>
    </w:p>
    <w:p>
      <w:pPr>
        <w:pStyle w:val="Normal"/>
        <w:spacing w:lineRule="atLeast" w:line="240"/>
        <w:ind w:start="720" w:end="0"/>
        <w:jc w:val="both"/>
        <w:rPr>
          <w:sz w:val="20"/>
        </w:rPr>
      </w:pPr>
      <w:r>
        <w:rPr>
          <w:sz w:val="20"/>
        </w:rPr>
      </w:r>
    </w:p>
    <w:p>
      <w:pPr>
        <w:pStyle w:val="Normal"/>
        <w:ind w:hanging="720" w:start="1440" w:end="0"/>
        <w:jc w:val="both"/>
        <w:rPr/>
      </w:pPr>
      <w:r>
        <w:rPr>
          <w:sz w:val="20"/>
        </w:rPr>
        <w:t>(i)</w:t>
        <w:tab/>
        <w:t>“</w:t>
      </w:r>
      <w:r>
        <w:rPr>
          <w:sz w:val="20"/>
          <w:u w:val="single"/>
        </w:rPr>
        <w:t>GAAP</w:t>
      </w:r>
      <w:r>
        <w:rPr>
          <w:sz w:val="20"/>
        </w:rPr>
        <w:t>” means generally accepted accounting principles that are generally accepted in the country in which the applicable party is organized and on a basis consistent with prior periods.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t>"</w:t>
      </w:r>
      <w:r>
        <w:rPr>
          <w:sz w:val="20"/>
          <w:u w:val="single"/>
        </w:rPr>
        <w:t>Interest Amount</w:t>
      </w:r>
      <w:r>
        <w:rPr>
          <w:sz w:val="20"/>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sz w:val="20"/>
          <w:u w:val="single"/>
        </w:rPr>
        <w:t>Interest Rate</w:t>
      </w:r>
      <w:r>
        <w:rPr>
          <w:sz w:val="20"/>
        </w:rPr>
        <w:t>" shall be the Federal Funds Overnight Rate as from time to time in effect.  "</w:t>
      </w:r>
      <w:r>
        <w:rPr>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tabs>
          <w:tab w:val="left" w:pos="720" w:leader="none"/>
        </w:tabs>
        <w:ind w:hanging="720" w:start="1440" w:end="0"/>
        <w:jc w:val="both"/>
        <w:rPr/>
      </w:pPr>
      <w:r>
        <w:rPr>
          <w:sz w:val="20"/>
        </w:rPr>
        <w:t>(k)</w:t>
        <w:tab/>
        <w:t>“</w:t>
      </w:r>
      <w:r>
        <w:rPr>
          <w:sz w:val="20"/>
          <w:u w:val="single"/>
        </w:rPr>
        <w:t>Letter of Credit Default</w:t>
      </w:r>
      <w:r>
        <w:rPr>
          <w:sz w:val="20"/>
        </w:rPr>
        <w:t>”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spacing w:lineRule="atLeast" w:line="240"/>
        <w:ind w:hanging="720" w:start="1440" w:end="0"/>
        <w:jc w:val="both"/>
        <w:rPr>
          <w:sz w:val="20"/>
        </w:rPr>
      </w:pPr>
      <w:r>
        <w:rPr>
          <w:sz w:val="20"/>
        </w:rPr>
      </w:r>
    </w:p>
    <w:p>
      <w:pPr>
        <w:pStyle w:val="Normal"/>
        <w:spacing w:lineRule="atLeast" w:line="240"/>
        <w:ind w:hanging="720" w:start="1440" w:end="0"/>
        <w:jc w:val="both"/>
        <w:rPr/>
      </w:pPr>
      <w:r>
        <w:rPr>
          <w:sz w:val="20"/>
        </w:rPr>
        <w:t>(l)</w:t>
        <w:tab/>
        <w:t>“</w:t>
      </w:r>
      <w:r>
        <w:rPr>
          <w:sz w:val="20"/>
          <w:u w:val="single"/>
        </w:rPr>
        <w:t>Material Adverse Change</w:t>
      </w:r>
      <w:r>
        <w:rPr>
          <w:sz w:val="20"/>
        </w:rPr>
        <w:t>” means with respect to Counterparty, it shall have any of the following occur at any time:  (i) the ratio of its Funded Debt to Net Worth is more than 0.5 to 1.0, or (ii) its Net Worth falls below U.S. $415,000,000, or (iii) in the reasonable opinion of ENA, a material adverse change has occurred in the business, financial condition or operations of Counterparty.</w:t>
      </w:r>
    </w:p>
    <w:p>
      <w:pPr>
        <w:pStyle w:val="Normal"/>
        <w:tabs>
          <w:tab w:val="left" w:pos="720" w:leader="none"/>
        </w:tabs>
        <w:ind w:hanging="1440" w:start="1440" w:end="0"/>
        <w:jc w:val="both"/>
        <w:rPr>
          <w:sz w:val="20"/>
        </w:rPr>
      </w:pPr>
      <w:r>
        <w:rPr>
          <w:sz w:val="20"/>
        </w:rPr>
      </w:r>
    </w:p>
    <w:p>
      <w:pPr>
        <w:pStyle w:val="Normal"/>
        <w:tabs>
          <w:tab w:val="left" w:pos="720" w:leader="none"/>
        </w:tabs>
        <w:ind w:hanging="720" w:start="1440" w:end="0"/>
        <w:jc w:val="both"/>
        <w:rPr/>
      </w:pPr>
      <w:r>
        <w:rPr>
          <w:sz w:val="20"/>
        </w:rPr>
        <w:t>(m)</w:t>
        <w:tab/>
        <w:t>“</w:t>
      </w:r>
      <w:r>
        <w:rPr>
          <w:sz w:val="20"/>
          <w:u w:val="single"/>
        </w:rPr>
        <w:t>Moody’s</w:t>
      </w:r>
      <w:r>
        <w:rPr>
          <w:sz w:val="20"/>
        </w:rPr>
        <w:t>”</w:t>
      </w:r>
      <w:r>
        <w:rPr>
          <w:i/>
          <w:sz w:val="20"/>
        </w:rPr>
        <w:t xml:space="preserve"> </w:t>
      </w:r>
      <w:r>
        <w:rPr>
          <w:sz w:val="20"/>
        </w:rPr>
        <w:t>means Moody’s Investors Service, Inc. or its successor.</w:t>
      </w:r>
    </w:p>
    <w:p>
      <w:pPr>
        <w:pStyle w:val="Normal"/>
        <w:tabs>
          <w:tab w:val="left" w:pos="720" w:leader="none"/>
        </w:tabs>
        <w:ind w:hanging="720" w:start="144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1440" w:end="0"/>
        <w:jc w:val="both"/>
        <w:rPr>
          <w:sz w:val="20"/>
          <w:u w:val="single"/>
        </w:rPr>
      </w:pPr>
      <w:r>
        <w:rPr>
          <w:sz w:val="20"/>
        </w:rPr>
        <w:t>(n)</w:t>
        <w:tab/>
        <w:tab/>
        <w:t>“</w:t>
      </w:r>
      <w:r>
        <w:rPr>
          <w:sz w:val="20"/>
          <w:u w:val="single"/>
        </w:rPr>
        <w:t>Net Worth</w:t>
      </w:r>
      <w:r>
        <w:rPr>
          <w:sz w:val="20"/>
        </w:rPr>
        <w:t>” means total assets of Counterparty and its consolidated subsidiaries, if any, (exclusive of intangible assets), minus the total liabilities, each as would be reflected on a consolidated balance sheet of Counterparty prepared in accordance with GAAP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sz w:val="20"/>
          <w:u w:val="single"/>
        </w:rPr>
      </w:pPr>
      <w:r>
        <w:rPr>
          <w:sz w:val="20"/>
          <w:u w:val="single"/>
        </w:rPr>
      </w:r>
    </w:p>
    <w:p>
      <w:pPr>
        <w:pStyle w:val="Normal"/>
        <w:ind w:hanging="720" w:start="1440" w:end="0"/>
        <w:jc w:val="both"/>
        <w:rPr/>
      </w:pPr>
      <w:r>
        <w:rPr>
          <w:sz w:val="20"/>
        </w:rPr>
        <w:t>(o)</w:t>
        <w:tab/>
        <w:t>"</w:t>
      </w:r>
      <w:r>
        <w:rPr>
          <w:sz w:val="20"/>
          <w:u w:val="single"/>
        </w:rPr>
        <w:t>Performance Assurance</w:t>
      </w:r>
      <w:r>
        <w:rPr>
          <w:sz w:val="20"/>
        </w:rPr>
        <w:t>" means (i) one or more irrevocable, transferable standby letters of credit (each a "</w:t>
      </w:r>
      <w:r>
        <w:rPr>
          <w:sz w:val="20"/>
          <w:u w:val="single"/>
        </w:rPr>
        <w:t>Letter of Credit</w:t>
      </w:r>
      <w:r>
        <w:rPr>
          <w:sz w:val="20"/>
        </w:rPr>
        <w:t xml:space="preserve">") issued by a major U.S. commercial bank or a foreign bank with a U.S. branch office, with such bank having a Credit Rating of at least “A-” from S&amp;P and “A3” from Moody’s, such Letter of Credit being issued for the benefit of ENA and in the form of </w:t>
      </w:r>
      <w:r>
        <w:rPr>
          <w:sz w:val="20"/>
          <w:u w:val="single"/>
        </w:rPr>
        <w:t>Schedule 1</w:t>
      </w:r>
      <w:r>
        <w:rPr>
          <w:sz w:val="20"/>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sz w:val="20"/>
        </w:rPr>
      </w:pPr>
      <w:r>
        <w:rPr>
          <w:sz w:val="20"/>
        </w:rPr>
      </w:r>
    </w:p>
    <w:p>
      <w:pPr>
        <w:pStyle w:val="Normal"/>
        <w:ind w:start="720" w:end="0"/>
        <w:jc w:val="both"/>
        <w:rPr/>
      </w:pPr>
      <w:r>
        <w:rPr>
          <w:sz w:val="20"/>
        </w:rPr>
        <w:t>(p)</w:t>
        <w:tab/>
        <w:t>“</w:t>
      </w:r>
      <w:r>
        <w:rPr>
          <w:sz w:val="20"/>
          <w:u w:val="single"/>
        </w:rPr>
        <w:t>S&amp;P”</w:t>
      </w:r>
      <w:r>
        <w:rPr>
          <w:sz w:val="20"/>
        </w:rPr>
        <w:t xml:space="preserve"> means the Standard &amp; Pool’s Rating Group (a division of McGraw-Hill, Inc.) or its successor.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(q)</w:t>
        <w:tab/>
        <w:t>"</w:t>
      </w:r>
      <w:r>
        <w:rPr>
          <w:sz w:val="20"/>
          <w:u w:val="single"/>
        </w:rPr>
        <w:t>Swaps</w:t>
      </w:r>
      <w:r>
        <w:rPr>
          <w:sz w:val="20"/>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(r)</w:t>
        <w:tab/>
        <w:t>"</w:t>
      </w:r>
      <w:r>
        <w:rPr>
          <w:sz w:val="20"/>
          <w:u w:val="single"/>
        </w:rPr>
        <w:t>Transfer</w:t>
      </w:r>
      <w:r>
        <w:rPr>
          <w:sz w:val="20"/>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sz w:val="20"/>
        </w:rPr>
      </w:pPr>
      <w:r>
        <w:rPr>
          <w:sz w:val="20"/>
        </w:rPr>
      </w:r>
    </w:p>
    <w:p>
      <w:pPr>
        <w:pStyle w:val="Normal"/>
        <w:tabs>
          <w:tab w:val="left" w:pos="720" w:leader="none"/>
        </w:tabs>
        <w:ind w:hanging="720" w:start="1440" w:end="0"/>
        <w:jc w:val="both"/>
        <w:rPr/>
      </w:pPr>
      <w:r>
        <w:rPr>
          <w:sz w:val="20"/>
        </w:rPr>
        <w:t>(s)</w:t>
        <w:tab/>
        <w:t>"</w:t>
      </w:r>
      <w:r>
        <w:rPr>
          <w:sz w:val="20"/>
          <w:u w:val="single"/>
        </w:rPr>
        <w:t>Valuation Percentage</w:t>
      </w:r>
      <w:r>
        <w:rPr>
          <w:sz w:val="20"/>
        </w:rPr>
        <w:t>”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0"/>
        </w:rPr>
      </w:pPr>
      <w:r>
        <w:rPr>
          <w:sz w:val="20"/>
        </w:rPr>
      </w:r>
    </w:p>
    <w:p>
      <w:pPr>
        <w:pStyle w:val="Normal"/>
        <w:tabs>
          <w:tab w:val="left" w:pos="720" w:leader="none"/>
        </w:tabs>
        <w:ind w:hanging="1440" w:start="1440" w:end="0"/>
        <w:jc w:val="both"/>
        <w:rPr>
          <w:sz w:val="20"/>
        </w:rPr>
      </w:pPr>
      <w:r>
        <w:rPr>
          <w:sz w:val="20"/>
        </w:rPr>
        <w:tab/>
        <w:t>(t)</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pPr>
      <w:r>
        <w:rPr>
          <w:sz w:val="20"/>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sz w:val="20"/>
          <w:u w:val="single"/>
        </w:rPr>
        <w:t>provided, however</w:t>
      </w:r>
      <w:r>
        <w:rPr>
          <w:sz w:val="20"/>
        </w:rPr>
        <w:t>, that Letters of Credit shall be Transferred by the close of business on the second succeeding Business Day.</w:t>
      </w:r>
    </w:p>
    <w:p>
      <w:pPr>
        <w:pStyle w:val="BodyTextIndent"/>
        <w:rPr/>
      </w:pPr>
      <w:r>
        <w:rPr>
          <w:color w:val="auto"/>
        </w:rPr>
        <w:t>(b)</w:t>
        <w:tab/>
        <w:t xml:space="preserve">On any Business Day (but no more frequently than weekly), Counterparty may request a reduction in the amount of Performance Assurance previously provided by it, </w:t>
      </w:r>
      <w:r>
        <w:rPr>
          <w:color w:val="auto"/>
          <w:u w:val="single"/>
        </w:rPr>
        <w:t>provided that</w:t>
      </w:r>
      <w:r>
        <w:rPr>
          <w:color w:val="auto"/>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color w:val="auto"/>
          <w:sz w:val="20"/>
        </w:rPr>
      </w:pPr>
      <w:r>
        <w:rPr>
          <w:color w:val="auto"/>
          <w:sz w:val="20"/>
        </w:rPr>
      </w:r>
    </w:p>
    <w:p>
      <w:pPr>
        <w:pStyle w:val="Normal"/>
        <w:ind w:start="720" w:end="0"/>
        <w:jc w:val="both"/>
        <w:rPr/>
      </w:pPr>
      <w:r>
        <w:rPr>
          <w:sz w:val="20"/>
        </w:rPr>
        <w:t xml:space="preserve">3.  </w:t>
      </w:r>
      <w:r>
        <w:rPr>
          <w:sz w:val="20"/>
          <w:u w:val="single"/>
        </w:rPr>
        <w:t>Cash Collateral</w:t>
      </w:r>
      <w:r>
        <w:rPr>
          <w:sz w:val="20"/>
        </w:rPr>
        <w:t>.</w:t>
        <w:tab/>
        <w:t xml:space="preserve">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rPr>
          <w:sz w:val="20"/>
        </w:rPr>
      </w:pPr>
      <w:r>
        <w:rPr>
          <w:sz w:val="20"/>
        </w:rPr>
      </w:r>
    </w:p>
    <w:p>
      <w:pPr>
        <w:pStyle w:val="BodyTextIndent2"/>
        <w:rPr/>
      </w:pPr>
      <w:r>
        <w:rPr/>
        <w:t>(b)</w:t>
        <w:tab/>
        <w:t>So long as no Event of Default with respect to Counterparty has occurred and is continuing, and no Early Termination Date for which any unsatisfied payment obligations of Counterparty exist has occurred or been designated as the result of an Event of Default or a Termination Event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or Termination Event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sz w:val="20"/>
        </w:rPr>
      </w:pPr>
      <w:r>
        <w:rPr>
          <w:sz w:val="20"/>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sz w:val="20"/>
        </w:rPr>
      </w:pPr>
      <w:r>
        <w:rPr>
          <w:sz w:val="20"/>
        </w:rPr>
      </w:r>
    </w:p>
    <w:p>
      <w:pPr>
        <w:pStyle w:val="Normal"/>
        <w:ind w:start="720" w:end="0"/>
        <w:jc w:val="both"/>
        <w:rPr/>
      </w:pPr>
      <w:r>
        <w:rPr>
          <w:sz w:val="20"/>
        </w:rPr>
        <w:t xml:space="preserve">4.  </w:t>
      </w:r>
      <w:r>
        <w:rPr>
          <w:sz w:val="20"/>
          <w:u w:val="single"/>
        </w:rPr>
        <w:t>Letters of Credit</w:t>
      </w:r>
      <w:r>
        <w:rPr>
          <w:sz w:val="20"/>
        </w:rPr>
        <w:t>.</w:t>
        <w:tab/>
        <w:t xml:space="preserve"> Performance Assurance in the form of a Letter of Credit shall be subject to the following provisions:</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pPr>
      <w:r>
        <w:rPr>
          <w:sz w:val="20"/>
        </w:rPr>
        <w:t>(b)</w:t>
        <w:tab/>
        <w:t>Upon the occurrence of a Letter of Credit Default, Counterparty agrees to deliver substitute Performance Assurance to ENA on or before the second Business Day after the occurrence thereof (or the fifth (5</w:t>
      </w:r>
      <w:r>
        <w:rPr>
          <w:sz w:val="20"/>
          <w:vertAlign w:val="superscript"/>
        </w:rPr>
        <w:t>th</w:t>
      </w:r>
      <w:r>
        <w:rPr>
          <w:sz w:val="20"/>
        </w:rPr>
        <w:t>) Business Day after the occurrence thereof if only clause (i) under the definition of Letter of Credit Default applies).</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sz w:val="20"/>
        </w:rPr>
      </w:pPr>
      <w:r>
        <w:rPr>
          <w:sz w:val="20"/>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sz w:val="20"/>
        </w:rPr>
      </w:pPr>
      <w:r>
        <w:rPr>
          <w:sz w:val="20"/>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sz w:val="20"/>
        </w:rPr>
      </w:pPr>
      <w:r>
        <w:rPr>
          <w:sz w:val="20"/>
        </w:rPr>
      </w:r>
    </w:p>
    <w:p>
      <w:pPr>
        <w:pStyle w:val="BodyText"/>
        <w:tabs>
          <w:tab w:val="clear" w:pos="720"/>
          <w:tab w:val="left" w:pos="1440" w:leader="none"/>
        </w:tabs>
        <w:ind w:start="1440" w:end="0"/>
        <w:rPr/>
      </w:pPr>
      <w:r>
        <w:rPr/>
        <w:t>(ii)</w:t>
        <w:tab/>
        <w:t>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clear" w:pos="720"/>
          <w:tab w:val="left" w:pos="1440" w:leader="none"/>
        </w:tabs>
        <w:jc w:val="both"/>
        <w:rPr>
          <w:sz w:val="20"/>
        </w:rPr>
      </w:pPr>
      <w:r>
        <w:rPr>
          <w:sz w:val="20"/>
        </w:rPr>
      </w:r>
    </w:p>
    <w:p>
      <w:pPr>
        <w:pStyle w:val="Normal"/>
        <w:ind w:start="1440" w:end="0"/>
        <w:jc w:val="both"/>
        <w:rPr>
          <w:sz w:val="20"/>
        </w:rPr>
      </w:pPr>
      <w:r>
        <w:rPr>
          <w:sz w:val="20"/>
        </w:rPr>
        <w:t>(iii)</w:t>
        <w:tab/>
        <w:t>Upon or at any time after the occurrence or deemed occurrence of an Early Termination Date as a result of a Termination Event and the failure of Counterparty to make all payments due and owing to ENA in accordance with the terms of  the Confirmation and all outstanding Swaps, ENA may draw on any outstanding Letter of Credit in an amount equal to such amounts owing to it.  Counterparty shall remain liable for any amounts owing to ENA and remaining unpaid after the application of the amounts so drawn by ENA.</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sz w:val="20"/>
        </w:rPr>
      </w:pPr>
      <w:r>
        <w:rPr>
          <w:sz w:val="20"/>
        </w:rPr>
      </w:r>
    </w:p>
    <w:p>
      <w:pPr>
        <w:pStyle w:val="Normal"/>
        <w:jc w:val="both"/>
        <w:rPr/>
      </w:pPr>
      <w:r>
        <w:rPr>
          <w:sz w:val="20"/>
        </w:rPr>
        <w:tab/>
        <w:t xml:space="preserve">5.  </w:t>
      </w:r>
      <w:r>
        <w:rPr>
          <w:sz w:val="20"/>
          <w:u w:val="single"/>
        </w:rPr>
        <w:t>Additional Representation</w:t>
      </w:r>
      <w:r>
        <w:rPr>
          <w:sz w:val="20"/>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0"/>
        </w:rPr>
        <w:tab/>
        <w:tab/>
        <w:t xml:space="preserve">6.  </w:t>
      </w:r>
      <w:r>
        <w:rPr>
          <w:sz w:val="20"/>
          <w:u w:val="single"/>
        </w:rPr>
        <w:t>ENA’s Rights and Remedies</w:t>
      </w:r>
      <w:r>
        <w:rPr>
          <w:sz w:val="20"/>
        </w:rPr>
        <w:t>.    If at any time (i) an Event of Default with respect to Counterparty has occurred and is continuing or (ii) an Early Termination Date has occurred or been designated as a result of an Event of Default or a Termination Event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sz w:val="20"/>
        </w:rPr>
        <w:tab/>
        <w:tab/>
        <w:t xml:space="preserve">7.  </w:t>
      </w:r>
      <w:r>
        <w:rPr>
          <w:sz w:val="20"/>
          <w:u w:val="single"/>
        </w:rPr>
        <w:t>Security Interest</w:t>
      </w:r>
      <w:r>
        <w:rPr>
          <w:sz w:val="20"/>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0"/>
        </w:rPr>
        <w:t xml:space="preserve">8.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sz w:val="20"/>
        </w:rPr>
      </w:pPr>
      <w:r>
        <w:rPr>
          <w:sz w:val="20"/>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pStyle w:val="BodyTextIndent2"/>
        <w:spacing w:before="240" w:after="0"/>
        <w:rPr/>
      </w:pPr>
      <w:r>
        <w:rPr/>
        <w:t>(d)</w:t>
        <w:tab/>
        <w:t>So long as ENA is not a Defaulting Party and no Early Termination Date has occurred or been designated as a result of an Event of Default or Termination Event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sectPr>
          <w:headerReference w:type="default" r:id="rId19"/>
          <w:headerReference w:type="first" r:id="rId20"/>
          <w:footerReference w:type="default" r:id="rId21"/>
          <w:footerReference w:type="first" r:id="rId22"/>
          <w:type w:val="nextPage"/>
          <w:pgSz w:w="12240" w:h="15840"/>
          <w:pgMar w:left="864" w:right="720" w:gutter="0" w:header="720" w:top="1440" w:footer="605" w:bottom="1440"/>
          <w:pgNumType w:start="1" w:fmt="decimal"/>
          <w:formProt w:val="false"/>
          <w:textDirection w:val="lrTb"/>
          <w:docGrid w:type="default" w:linePitch="360" w:charSpace="0"/>
        </w:sectPr>
        <w:pStyle w:val="Normal"/>
        <w:tabs>
          <w:tab w:val="left" w:pos="720" w:leader="none"/>
        </w:tabs>
        <w:spacing w:lineRule="atLeast" w:line="240"/>
        <w:ind w:firstLine="90" w:start="1440" w:end="0"/>
        <w:jc w:val="both"/>
        <w:rPr>
          <w:sz w:val="20"/>
        </w:rPr>
      </w:pPr>
      <w:r>
        <w:rPr>
          <w:sz w:val="20"/>
        </w:rPr>
      </w:r>
    </w:p>
    <w:p>
      <w:pPr>
        <w:pStyle w:val="Normal"/>
        <w:jc w:val="center"/>
        <w:rPr>
          <w:sz w:val="20"/>
        </w:rPr>
      </w:pPr>
      <w:r>
        <w:rPr>
          <w:b/>
          <w:sz w:val="20"/>
          <w:u w:val="single"/>
        </w:rPr>
        <w:t>SCHEDULE 1</w:t>
      </w:r>
    </w:p>
    <w:p>
      <w:pPr>
        <w:pStyle w:val="Normal"/>
        <w:jc w:val="center"/>
        <w:rPr>
          <w:sz w:val="20"/>
        </w:rPr>
      </w:pPr>
      <w:r>
        <w:rPr>
          <w:sz w:val="20"/>
        </w:rPr>
      </w:r>
    </w:p>
    <w:p>
      <w:pPr>
        <w:pStyle w:val="Normal"/>
        <w:jc w:val="center"/>
        <w:rPr>
          <w:sz w:val="20"/>
        </w:rPr>
      </w:pPr>
      <w:r>
        <w:rPr>
          <w:sz w:val="20"/>
        </w:rPr>
        <w:t>IRREVOCABLE STANDBY LETTER OF CREDIT FORMAT</w:t>
      </w:r>
    </w:p>
    <w:p>
      <w:pPr>
        <w:pStyle w:val="Normal"/>
        <w:jc w:val="center"/>
        <w:rPr>
          <w:sz w:val="20"/>
        </w:rPr>
      </w:pPr>
      <w:r>
        <w:rPr>
          <w:sz w:val="20"/>
        </w:rPr>
        <w:t xml:space="preserve">DATE OF ISSUANCE:  </w:t>
      </w:r>
      <w:r>
        <w:rPr>
          <w:sz w:val="20"/>
          <w:u w:val="single"/>
        </w:rPr>
        <w:tab/>
        <w:tab/>
        <w:tab/>
      </w:r>
    </w:p>
    <w:p>
      <w:pPr>
        <w:pStyle w:val="Normal"/>
        <w:rPr>
          <w:sz w:val="20"/>
        </w:rPr>
      </w:pPr>
      <w:r>
        <w:rPr>
          <w:sz w:val="20"/>
        </w:rPr>
        <w:t>[Address]</w:t>
      </w:r>
    </w:p>
    <w:p>
      <w:pPr>
        <w:pStyle w:val="Normal"/>
        <w:rPr>
          <w:sz w:val="20"/>
        </w:rPr>
      </w:pPr>
      <w:r>
        <w:rPr>
          <w:sz w:val="20"/>
        </w:rPr>
      </w:r>
    </w:p>
    <w:p>
      <w:pPr>
        <w:pStyle w:val="Normal"/>
        <w:rPr>
          <w:sz w:val="20"/>
        </w:rPr>
      </w:pPr>
      <w:r>
        <w:rPr>
          <w:sz w:val="20"/>
        </w:rPr>
        <w:tab/>
        <w:t>Re:  Credit No. _______________</w:t>
      </w:r>
    </w:p>
    <w:p>
      <w:pPr>
        <w:pStyle w:val="Normal"/>
        <w:rPr>
          <w:sz w:val="20"/>
        </w:rPr>
      </w:pPr>
      <w:r>
        <w:rPr>
          <w:sz w:val="20"/>
        </w:rPr>
      </w:r>
    </w:p>
    <w:p>
      <w:pPr>
        <w:pStyle w:val="Normal"/>
        <w:jc w:val="both"/>
        <w:rPr/>
      </w:pPr>
      <w:r>
        <w:rPr>
          <w:sz w:val="20"/>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0"/>
          <w:u w:val="single"/>
        </w:rPr>
        <w:t>Location</w:t>
      </w:r>
      <w:r>
        <w:rPr>
          <w:sz w:val="20"/>
        </w:rPr>
        <w:t>) on or before the expiration hereof against presentation to us of the following statement, dated and signed by a representative of the beneficiary:</w:t>
      </w:r>
    </w:p>
    <w:p>
      <w:pPr>
        <w:pStyle w:val="Normal"/>
        <w:jc w:val="both"/>
        <w:rPr>
          <w:sz w:val="20"/>
        </w:rPr>
      </w:pPr>
      <w:r>
        <w:rPr>
          <w:sz w:val="20"/>
        </w:rPr>
      </w:r>
    </w:p>
    <w:p>
      <w:pPr>
        <w:pStyle w:val="Normal"/>
        <w:tabs>
          <w:tab w:val="left" w:pos="720" w:leader="none"/>
        </w:tabs>
        <w:ind w:hanging="720" w:start="720" w:end="0"/>
        <w:jc w:val="both"/>
        <w:rPr>
          <w:sz w:val="20"/>
        </w:rPr>
      </w:pPr>
      <w:r>
        <w:rPr>
          <w:sz w:val="20"/>
        </w:rPr>
        <w:tab/>
        <w:t>“An Event of Default (as defined in the Confirmation dated as of ______________, 19___,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sz w:val="20"/>
        </w:rPr>
      </w:pPr>
      <w:r>
        <w:rPr>
          <w:sz w:val="20"/>
        </w:rPr>
      </w:r>
    </w:p>
    <w:p>
      <w:pPr>
        <w:pStyle w:val="Normal"/>
        <w:tabs>
          <w:tab w:val="left" w:pos="720" w:leader="none"/>
        </w:tabs>
        <w:jc w:val="both"/>
        <w:rPr>
          <w:sz w:val="20"/>
        </w:rPr>
      </w:pPr>
      <w:r>
        <w:rPr>
          <w:sz w:val="20"/>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0"/>
        </w:rPr>
      </w:pPr>
      <w:r>
        <w:rPr>
          <w:sz w:val="20"/>
        </w:rPr>
      </w:r>
    </w:p>
    <w:p>
      <w:pPr>
        <w:pStyle w:val="Normal"/>
        <w:tabs>
          <w:tab w:val="clear" w:pos="720"/>
          <w:tab w:val="left" w:pos="4320" w:leader="none"/>
          <w:tab w:val="left" w:pos="5040" w:leader="none"/>
          <w:tab w:val="left" w:pos="5760" w:leader="none"/>
        </w:tabs>
        <w:ind w:start="5040" w:end="0"/>
        <w:rPr>
          <w:sz w:val="20"/>
          <w:lang w:val="en-CA"/>
        </w:rPr>
      </w:pPr>
      <w:r>
        <w:rPr>
          <w:sz w:val="20"/>
        </w:rPr>
        <w:t>[BANK SIGNATURE]</w:t>
      </w:r>
    </w:p>
    <w:p>
      <w:pPr>
        <w:pStyle w:val="Header"/>
        <w:rPr>
          <w:sz w:val="20"/>
          <w:lang w:val="en-CA"/>
        </w:rPr>
      </w:pPr>
      <w:r>
        <w:rPr>
          <w:sz w:val="20"/>
          <w:lang w:val="en-CA"/>
        </w:rPr>
      </w:r>
    </w:p>
    <w:sectPr>
      <w:headerReference w:type="default" r:id="rId23"/>
      <w:headerReference w:type="first" r:id="rId24"/>
      <w:footerReference w:type="default" r:id="rId25"/>
      <w:footerReference w:type="first" r:id="rId26"/>
      <w:type w:val="nextPage"/>
      <w:pgSz w:w="12240" w:h="15840"/>
      <w:pgMar w:left="1152" w:right="720"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p>
    <w:pPr>
      <w:pStyle w:val="Normal"/>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20"/>
      </w:rPr>
    </w:pPr>
    <w:r>
      <w:rPr>
        <w:rFonts w:cs="Arial Narrow" w:ascii="Arial Narrow" w:hAnsi="Arial Narrow"/>
        <w:sz w:val="20"/>
      </w:rPr>
      <w:t>Annex B-1</w:t>
    </w:r>
  </w:p>
  <w:p>
    <w:pPr>
      <w:pStyle w:val="Footer"/>
      <w:jc w:val="center"/>
      <w:rPr/>
    </w:pPr>
    <w:r>
      <w:rPr>
        <w:rFonts w:cs="Arial Narrow" w:ascii="Arial Narrow" w:hAnsi="Arial Narrow"/>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t>Exhibit 1</w:t>
    </w:r>
  </w:p>
  <w:p>
    <w:pPr>
      <w:pStyle w:val="Footer"/>
      <w:jc w:val="cen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jc w:val="center"/>
      <w:rPr/>
    </w:pPr>
    <w:r>
      <w:rPr>
        <w:rStyle w:val="PageNumber"/>
        <w:sz w:val="20"/>
      </w:rPr>
      <w:t>Annex A</w:t>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t>Annex B</w:t>
    </w:r>
  </w:p>
  <w:p>
    <w:pPr>
      <w:pStyle w:val="Footer"/>
      <w:jc w:val="cen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20"/>
      </w:rPr>
    </w:pPr>
    <w:r>
      <w:rPr>
        <w:rFonts w:cs="Arial Narrow" w:ascii="Arial Narrow" w:hAnsi="Arial Narrow"/>
        <w:sz w:val="20"/>
      </w:rPr>
      <w:t>Annex B-1</w:t>
    </w:r>
  </w:p>
  <w:p>
    <w:pPr>
      <w:pStyle w:val="Footer"/>
      <w:jc w:val="center"/>
      <w:rPr>
        <w:rStyle w:val="PageNumber"/>
        <w:sz w:val="20"/>
      </w:rPr>
    </w:pPr>
    <w:r>
      <w:rPr>
        <w:rFonts w:cs="Arial Narrow" w:ascii="Arial Narrow" w:hAnsi="Arial Narrow"/>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center"/>
      <w:rPr>
        <w:b/>
        <w:sz w:val="24"/>
      </w:rPr>
    </w:pPr>
    <w:r>
      <w:rPr>
        <w:b/>
        <w:sz w:val="24"/>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360" w:hanging="360"/>
      </w:pPr>
    </w:lvl>
  </w:abstractNum>
  <w:abstractNum w:abstractNumId="4">
    <w:lvl w:ilvl="0">
      <w:start w:val="2"/>
      <w:numFmt w:val="lowerLetter"/>
      <w:lvlText w:val="(%1)"/>
      <w:lvlJc w:val="start"/>
      <w:pPr>
        <w:tabs>
          <w:tab w:val="num" w:pos="1440"/>
        </w:tabs>
        <w:ind w:start="1440" w:hanging="720"/>
      </w:pPr>
      <w:rPr/>
    </w:lvl>
  </w:abstractNum>
  <w:abstractNum w:abstractNumId="5">
    <w:lvl w:ilvl="0">
      <w:start w:val="1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3">
    <w:name w:val="Body Text Indent 3"/>
    <w:basedOn w:val="Normal"/>
    <w:qFormat/>
    <w:pPr>
      <w:spacing w:lineRule="exact" w:line="240"/>
      <w:ind w:firstLine="720" w:start="720" w:end="0"/>
      <w:jc w:val="both"/>
    </w:pPr>
    <w:rPr/>
  </w:style>
  <w:style w:type="paragraph" w:styleId="BodyTextIndent2">
    <w:name w:val="Body Text Indent 2"/>
    <w:basedOn w:val="Normal"/>
    <w:qFormat/>
    <w:pPr>
      <w:ind w:hanging="720" w:start="144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1999-11-12T18:45:00Z</dcterms:created>
  <dc:creator>mheard</dc:creator>
  <dc:description/>
  <dc:language>en-CA</dc:language>
  <cp:lastModifiedBy>jhunte2</cp:lastModifiedBy>
  <cp:lastPrinted>1999-11-12T12:08:00Z</cp:lastPrinted>
  <dcterms:modified xsi:type="dcterms:W3CDTF">1999-11-12T20:28:00Z</dcterms:modified>
  <cp:revision>5</cp:revision>
  <dc:subject/>
  <dc:title>“DEEMED ISDA” CONFIRMATION</dc:title>
</cp:coreProperties>
</file>