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r>
    </w:p>
    <w:p>
      <w:pPr>
        <w:pStyle w:val="Normal"/>
        <w:jc w:val="center"/>
        <w:rPr>
          <w:sz w:val="23"/>
        </w:rPr>
      </w:pPr>
      <w:r>
        <w:rPr>
          <w:sz w:val="23"/>
        </w:rPr>
        <w:t>May 22, 2000</w:t>
      </w:r>
    </w:p>
    <w:p>
      <w:pPr>
        <w:pStyle w:val="Normal"/>
        <w:jc w:val="center"/>
        <w:rPr>
          <w:sz w:val="23"/>
        </w:rPr>
      </w:pPr>
      <w:r>
        <w:rPr>
          <w:sz w:val="23"/>
        </w:rPr>
      </w:r>
    </w:p>
    <w:p>
      <w:pPr>
        <w:pStyle w:val="Normal"/>
        <w:rPr>
          <w:b/>
          <w:sz w:val="23"/>
          <w:u w:val="single"/>
        </w:rPr>
      </w:pPr>
      <w:r>
        <w:rPr>
          <w:b/>
          <w:sz w:val="23"/>
          <w:u w:val="single"/>
        </w:rPr>
      </w:r>
    </w:p>
    <w:p>
      <w:pPr>
        <w:pStyle w:val="Heading2"/>
        <w:ind w:hanging="0" w:start="0"/>
        <w:rPr/>
      </w:pPr>
      <w:r>
        <w:rPr>
          <w:sz w:val="23"/>
        </w:rPr>
        <w:t>Mr. Emmanuel Gaillard</w:t>
        <w:tab/>
        <w:tab/>
        <w:tab/>
        <w:tab/>
        <w:tab/>
        <w:tab/>
      </w:r>
      <w:r>
        <w:rPr>
          <w:b/>
          <w:bCs/>
          <w:sz w:val="23"/>
          <w:u w:val="single"/>
        </w:rPr>
        <w:t>Via-Facsimile</w:t>
      </w:r>
    </w:p>
    <w:p>
      <w:pPr>
        <w:pStyle w:val="Normal"/>
        <w:rPr>
          <w:sz w:val="23"/>
        </w:rPr>
      </w:pPr>
      <w:r>
        <w:rPr>
          <w:sz w:val="23"/>
        </w:rPr>
        <w:t>Shearman &amp; Sterling</w:t>
      </w:r>
    </w:p>
    <w:p>
      <w:pPr>
        <w:pStyle w:val="Normal"/>
        <w:rPr>
          <w:sz w:val="23"/>
        </w:rPr>
      </w:pPr>
      <w:r>
        <w:rPr>
          <w:sz w:val="23"/>
        </w:rPr>
        <w:t>114, avenue des Champs-Elysées</w:t>
      </w:r>
    </w:p>
    <w:p>
      <w:pPr>
        <w:pStyle w:val="Normal"/>
        <w:rPr>
          <w:sz w:val="23"/>
        </w:rPr>
      </w:pPr>
      <w:r>
        <w:rPr>
          <w:sz w:val="23"/>
        </w:rPr>
        <w:t>75008 Paris</w:t>
      </w:r>
    </w:p>
    <w:p>
      <w:pPr>
        <w:pStyle w:val="Normal"/>
        <w:rPr>
          <w:sz w:val="23"/>
        </w:rPr>
      </w:pPr>
      <w:r>
        <w:rPr>
          <w:sz w:val="23"/>
        </w:rPr>
        <w:t>France</w:t>
      </w:r>
    </w:p>
    <w:p>
      <w:pPr>
        <w:pStyle w:val="Normal"/>
        <w:rPr>
          <w:sz w:val="23"/>
        </w:rPr>
      </w:pPr>
      <w:r>
        <w:rPr>
          <w:sz w:val="23"/>
        </w:rPr>
      </w:r>
    </w:p>
    <w:p>
      <w:pPr>
        <w:pStyle w:val="Normal"/>
        <w:rPr>
          <w:sz w:val="23"/>
        </w:rPr>
      </w:pPr>
      <w:r>
        <w:rPr>
          <w:sz w:val="23"/>
        </w:rPr>
      </w:r>
    </w:p>
    <w:p>
      <w:pPr>
        <w:pStyle w:val="Normal"/>
        <w:rPr>
          <w:sz w:val="23"/>
        </w:rPr>
      </w:pPr>
      <w:r>
        <w:rPr>
          <w:sz w:val="23"/>
        </w:rPr>
        <w:tab/>
        <w:tab/>
        <w:t>Re:</w:t>
        <w:tab/>
      </w:r>
      <w:r>
        <w:rPr>
          <w:i/>
          <w:iCs/>
          <w:sz w:val="23"/>
          <w:u w:val="single"/>
        </w:rPr>
        <w:t>Refineria Panamá S.A. v. The Republic of Panama</w:t>
      </w:r>
    </w:p>
    <w:p>
      <w:pPr>
        <w:pStyle w:val="Normal"/>
        <w:rPr>
          <w:sz w:val="23"/>
        </w:rPr>
      </w:pPr>
      <w:r>
        <w:rPr>
          <w:sz w:val="23"/>
        </w:rPr>
      </w:r>
    </w:p>
    <w:p>
      <w:pPr>
        <w:pStyle w:val="Normal"/>
        <w:rPr>
          <w:sz w:val="23"/>
        </w:rPr>
      </w:pPr>
      <w:r>
        <w:rPr>
          <w:sz w:val="23"/>
        </w:rPr>
        <w:t>Dear Mr. Gaillard:</w:t>
      </w:r>
    </w:p>
    <w:p>
      <w:pPr>
        <w:pStyle w:val="Normal"/>
        <w:jc w:val="both"/>
        <w:rPr>
          <w:sz w:val="23"/>
        </w:rPr>
      </w:pPr>
      <w:r>
        <w:rPr>
          <w:sz w:val="23"/>
        </w:rPr>
      </w:r>
    </w:p>
    <w:p>
      <w:pPr>
        <w:pStyle w:val="Normal"/>
        <w:jc w:val="both"/>
        <w:rPr>
          <w:sz w:val="23"/>
        </w:rPr>
      </w:pPr>
      <w:r>
        <w:rPr>
          <w:sz w:val="23"/>
        </w:rPr>
        <w:t>I am an Assistant General Counsel for Enron North America, the parent company of Enron Capital &amp; Trade Global Resources Corp. (“Enron”).  Counsel for Refineria Panamá S.A. (“Refpan”), Patricia Butler, has informed me that the arbitration panel in this matter has ordered Refpan to produce the fuel supply contract between Refpan and Enron to the Republic of Panama.  The production of this contract, specifically the price paid by Enron to Refpan is proprietary information.  Enron resells the fuel it buys from Refpan to Empresa de Generacion Electrica Bahia Las Minas, S.A., which is 49% owned by the Republic of Panama.  If the price of Enron’s fuel supply contract with Refpan is produced, the Republic of Panama will know the spread between its contract with Enron and Enron’s contract with Refpan.  Clearly, this information is confidential and proprietary.</w:t>
      </w:r>
    </w:p>
    <w:p>
      <w:pPr>
        <w:pStyle w:val="Normal"/>
        <w:jc w:val="both"/>
        <w:rPr>
          <w:sz w:val="23"/>
        </w:rPr>
      </w:pPr>
      <w:r>
        <w:rPr>
          <w:sz w:val="23"/>
        </w:rPr>
      </w:r>
    </w:p>
    <w:p>
      <w:pPr>
        <w:pStyle w:val="Normal"/>
        <w:jc w:val="both"/>
        <w:rPr>
          <w:sz w:val="23"/>
        </w:rPr>
      </w:pPr>
      <w:r>
        <w:rPr>
          <w:sz w:val="23"/>
        </w:rPr>
        <w:t>Enron, through Patricia Butler, has indicated to the Republic that the Enron pricing information should only be shown to Republic attorney and to the panel, and not to Republic officials.  In a letter to the panel dated May 19, 2000, the Republic rejected this solution and stated that “the Republic would be unfairly prejudiced if a select group of officials do not have full access” to the pricing structure.  This statement is without foundation.  I would urge the panel to determine whether the government officials truly need to review the pricing structure.  If this panel decides to allow Republic officials to review the price in spite of Enron’s objectives, the Republic should be required to (1) name the official who will be given access, and (2) outline, in detail, the reasons why the official should be given access.  I am available to answer any questions regarding Enron’s objectives.  My direct number is (713) 853-5587.</w:t>
      </w:r>
    </w:p>
    <w:p>
      <w:pPr>
        <w:pStyle w:val="Normal"/>
        <w:rPr>
          <w:sz w:val="23"/>
        </w:rPr>
      </w:pPr>
      <w:r>
        <w:rPr>
          <w:sz w:val="23"/>
        </w:rPr>
      </w:r>
    </w:p>
    <w:p>
      <w:pPr>
        <w:pStyle w:val="Normal"/>
        <w:ind w:firstLine="720" w:start="3600" w:end="0"/>
        <w:jc w:val="both"/>
        <w:rPr>
          <w:sz w:val="23"/>
        </w:rPr>
      </w:pPr>
      <w:r>
        <w:rPr>
          <w:sz w:val="23"/>
        </w:rPr>
        <w:t>Very truly yours,</w:t>
      </w:r>
    </w:p>
    <w:p>
      <w:pPr>
        <w:pStyle w:val="Normal"/>
        <w:ind w:firstLine="720" w:start="3600" w:end="0"/>
        <w:jc w:val="both"/>
        <w:rPr>
          <w:sz w:val="23"/>
        </w:rPr>
      </w:pPr>
      <w:r>
        <w:rPr>
          <w:sz w:val="23"/>
        </w:rPr>
      </w:r>
    </w:p>
    <w:p>
      <w:pPr>
        <w:pStyle w:val="Normal"/>
        <w:ind w:firstLine="720" w:start="3600" w:end="0"/>
        <w:jc w:val="both"/>
        <w:rPr>
          <w:sz w:val="23"/>
        </w:rPr>
      </w:pPr>
      <w:r>
        <w:rPr>
          <w:sz w:val="23"/>
        </w:rPr>
      </w:r>
    </w:p>
    <w:p>
      <w:pPr>
        <w:pStyle w:val="Normal"/>
        <w:ind w:firstLine="720" w:start="3600" w:end="0"/>
        <w:jc w:val="both"/>
        <w:rPr>
          <w:sz w:val="23"/>
        </w:rPr>
      </w:pPr>
      <w:r>
        <w:rPr>
          <w:sz w:val="23"/>
        </w:rPr>
        <w:t>Richard B. Sanders</w:t>
      </w:r>
    </w:p>
    <w:p>
      <w:pPr>
        <w:pStyle w:val="Normal"/>
        <w:jc w:val="both"/>
        <w:rPr>
          <w:sz w:val="23"/>
        </w:rPr>
      </w:pPr>
      <w:r>
        <w:rPr>
          <w:sz w:val="23"/>
        </w:rPr>
      </w:r>
    </w:p>
    <w:p>
      <w:pPr>
        <w:pStyle w:val="Normal"/>
        <w:jc w:val="both"/>
        <w:rPr>
          <w:sz w:val="23"/>
        </w:rPr>
      </w:pPr>
      <w:r>
        <w:rPr>
          <w:sz w:val="23"/>
        </w:rPr>
        <w:t>RBS/gc</w:t>
      </w:r>
    </w:p>
    <w:p>
      <w:pPr>
        <w:pStyle w:val="Normal"/>
        <w:rPr>
          <w:sz w:val="23"/>
        </w:rPr>
      </w:pPr>
      <w:r>
        <w:rPr>
          <w:sz w:val="23"/>
        </w:rPr>
      </w:r>
    </w:p>
    <w:p>
      <w:pPr>
        <w:pStyle w:val="Normal"/>
        <w:rPr>
          <w:sz w:val="23"/>
        </w:rPr>
      </w:pPr>
      <w:r>
        <w:rPr>
          <w:sz w:val="23"/>
        </w:rPr>
        <w:t>cc:</w:t>
        <w:tab/>
        <w:t>Mike Robison</w:t>
      </w:r>
    </w:p>
    <w:p>
      <w:pPr>
        <w:pStyle w:val="Normal"/>
        <w:ind w:firstLine="720" w:end="0"/>
        <w:rPr>
          <w:sz w:val="23"/>
        </w:rPr>
      </w:pPr>
      <w:r>
        <w:rPr>
          <w:sz w:val="23"/>
        </w:rPr>
        <w:t>Doug Leach</w:t>
      </w:r>
    </w:p>
    <w:sectPr>
      <w:footerReference w:type="default" r:id="rId2"/>
      <w:type w:val="nextPage"/>
      <w:pgSz w:w="12240" w:h="15840"/>
      <w:pgMar w:left="1152" w:right="1152" w:gutter="0" w:header="0" w:top="1008" w:footer="288"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/mnt/main-storage/datasets/enron-docs/doc/Emmanuel_Gaillard.doc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u w:val="single"/>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2000-05-22T13:47:00Z</dcterms:created>
  <dc:creator>joanne_garner</dc:creator>
  <dc:description/>
  <dc:language>en-CA</dc:language>
  <cp:lastModifiedBy>tsweet</cp:lastModifiedBy>
  <cp:lastPrinted>2000-05-22T12:49:00Z</cp:lastPrinted>
  <dcterms:modified xsi:type="dcterms:W3CDTF">2000-05-22T15:19:00Z</dcterms:modified>
  <cp:revision>14</cp:revision>
  <dc:subject/>
  <dc:title>March 1, 2000</dc:title>
</cp:coreProperties>
</file>