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Emergency Measures for Western Power Markets</w:t>
      </w:r>
    </w:p>
    <w:p>
      <w:pPr>
        <w:pStyle w:val="Normal"/>
        <w:jc w:val="center"/>
        <w:rPr/>
      </w:pPr>
      <w:r>
        <w:rPr/>
      </w:r>
    </w:p>
    <w:p>
      <w:pPr>
        <w:pStyle w:val="Normal"/>
        <w:jc w:val="center"/>
        <w:rPr/>
      </w:pPr>
      <w:r>
        <w:rPr/>
      </w:r>
    </w:p>
    <w:p>
      <w:pPr>
        <w:pStyle w:val="Normal"/>
        <w:numPr>
          <w:ilvl w:val="0"/>
          <w:numId w:val="3"/>
        </w:numPr>
        <w:spacing w:before="0" w:after="120"/>
        <w:jc w:val="both"/>
        <w:rPr/>
      </w:pPr>
      <w:r>
        <w:rPr/>
        <w:t>Make additional supply available</w:t>
      </w:r>
    </w:p>
    <w:p>
      <w:pPr>
        <w:pStyle w:val="Normal"/>
        <w:numPr>
          <w:ilvl w:val="0"/>
          <w:numId w:val="2"/>
        </w:numPr>
        <w:spacing w:before="0" w:after="120"/>
        <w:jc w:val="both"/>
        <w:rPr/>
      </w:pPr>
      <w:r>
        <w:rPr/>
        <w:t>Provide clean air act waivers to enable existing power plants to continue to run through summer 2002; preempt existing state and local controls to the extent they prevent continued operation of power facilities through summer 2002.</w:t>
      </w:r>
    </w:p>
    <w:p>
      <w:pPr>
        <w:pStyle w:val="Normal"/>
        <w:numPr>
          <w:ilvl w:val="0"/>
          <w:numId w:val="2"/>
        </w:numPr>
        <w:spacing w:before="0" w:after="120"/>
        <w:jc w:val="both"/>
        <w:rPr/>
      </w:pPr>
      <w:r>
        <w:rPr/>
        <w:t>Appropriate federal funds to purchase air emission offsets necessary to enable 10,000 MW of new generation to be constructed in California as well as to offset emissions of existing plants through 2002.</w:t>
      </w:r>
    </w:p>
    <w:p>
      <w:pPr>
        <w:pStyle w:val="Normal"/>
        <w:numPr>
          <w:ilvl w:val="0"/>
          <w:numId w:val="2"/>
        </w:numPr>
        <w:spacing w:before="0" w:after="120"/>
        <w:jc w:val="both"/>
        <w:rPr/>
      </w:pPr>
      <w:r>
        <w:rPr/>
        <w:t>Make federal lands available for the siting of new generation and transmission facilities, DOI/BLM/FERC have 60 days to identify and make available sites suitable for the construction of new facilities while not requiring environmental review for the construction or operation of generators on Federal lands for those generators in service before 1/1/2003.</w:t>
      </w:r>
    </w:p>
    <w:p>
      <w:pPr>
        <w:pStyle w:val="Normal"/>
        <w:numPr>
          <w:ilvl w:val="0"/>
          <w:numId w:val="2"/>
        </w:numPr>
        <w:spacing w:before="0" w:after="120"/>
        <w:jc w:val="both"/>
        <w:rPr/>
      </w:pPr>
      <w:r>
        <w:rPr/>
        <w:t>Expedite siting throughout the west by establishing a procedure for the Federal Energy Regulatory Commission (FERC) to grant certificates on an expedited basis for construction of generation and/or transmission upon a finding of public convenience and necessity.  Once FERC grants the certificate, the applicant may obtain rights-of-way through eminent domain.</w:t>
      </w:r>
    </w:p>
    <w:p>
      <w:pPr>
        <w:pStyle w:val="Normal"/>
        <w:numPr>
          <w:ilvl w:val="0"/>
          <w:numId w:val="2"/>
        </w:numPr>
        <w:spacing w:before="0" w:after="120"/>
        <w:jc w:val="both"/>
        <w:rPr/>
      </w:pPr>
      <w:r>
        <w:rPr/>
        <w:t>Loan or extend credit to California for payments to QF suppliers to enable them to continue running.</w:t>
      </w:r>
    </w:p>
    <w:p>
      <w:pPr>
        <w:pStyle w:val="Normal"/>
        <w:numPr>
          <w:ilvl w:val="0"/>
          <w:numId w:val="2"/>
        </w:numPr>
        <w:rPr/>
      </w:pPr>
      <w:r>
        <w:rPr/>
        <w:t xml:space="preserve">FERC must promulgate within 45 days, rules to require all transmission owners to adopt within 20 days thereafter, standardized and accelerated interconnection procedures for interconnection of generators. </w:t>
      </w:r>
    </w:p>
    <w:p>
      <w:pPr>
        <w:pStyle w:val="Normal"/>
        <w:ind w:start="432" w:end="0"/>
        <w:rPr/>
      </w:pPr>
      <w:r>
        <w:rPr/>
      </w:r>
    </w:p>
    <w:p>
      <w:pPr>
        <w:pStyle w:val="Normal"/>
        <w:numPr>
          <w:ilvl w:val="0"/>
          <w:numId w:val="2"/>
        </w:numPr>
        <w:rPr/>
      </w:pPr>
      <w:r>
        <w:rPr/>
        <w:t>Deem that all federal government sites and installations are wholesale customers and these customers may purchase energy and capacity on the wholesale market from licensed suppliers.  This will encourage parties to make responsible energy purchasing decisions by contracting in the stable forward markets.</w:t>
      </w:r>
    </w:p>
    <w:p>
      <w:pPr>
        <w:pStyle w:val="Normal"/>
        <w:rPr/>
      </w:pPr>
      <w:r>
        <w:rPr/>
      </w:r>
    </w:p>
    <w:p>
      <w:pPr>
        <w:pStyle w:val="Normal"/>
        <w:numPr>
          <w:ilvl w:val="0"/>
          <w:numId w:val="3"/>
        </w:numPr>
        <w:tabs>
          <w:tab w:val="clear" w:pos="720"/>
          <w:tab w:val="left" w:pos="360" w:leader="none"/>
        </w:tabs>
        <w:spacing w:before="0" w:after="120"/>
        <w:jc w:val="both"/>
        <w:rPr/>
      </w:pPr>
      <w:r>
        <w:rPr/>
        <w:t>Reduce demand</w:t>
      </w:r>
    </w:p>
    <w:p>
      <w:pPr>
        <w:pStyle w:val="Normal"/>
        <w:numPr>
          <w:ilvl w:val="0"/>
          <w:numId w:val="2"/>
        </w:numPr>
        <w:spacing w:before="0" w:after="120"/>
        <w:jc w:val="both"/>
        <w:rPr/>
      </w:pPr>
      <w:r>
        <w:rPr/>
        <w:t>Appropriate federal funds for a demand buy down program across the Western U.S. (see attached proposal).</w:t>
      </w:r>
    </w:p>
    <w:p>
      <w:pPr>
        <w:pStyle w:val="Normal"/>
        <w:numPr>
          <w:ilvl w:val="0"/>
          <w:numId w:val="2"/>
        </w:numPr>
        <w:spacing w:before="0" w:after="120"/>
        <w:jc w:val="both"/>
        <w:rPr/>
      </w:pPr>
      <w:r>
        <w:rPr/>
        <w:t>Appropriate federal funds or provide tax incentives for customers to install real time electricity meters capable of measuring electricity consumption in order to verify reduction in demand.</w:t>
      </w:r>
    </w:p>
    <w:p>
      <w:pPr>
        <w:pStyle w:val="Normal"/>
        <w:numPr>
          <w:ilvl w:val="0"/>
          <w:numId w:val="3"/>
        </w:numPr>
        <w:tabs>
          <w:tab w:val="clear" w:pos="720"/>
          <w:tab w:val="left" w:pos="360" w:leader="none"/>
        </w:tabs>
        <w:spacing w:before="0" w:after="120"/>
        <w:jc w:val="both"/>
        <w:rPr/>
      </w:pPr>
      <w:r>
        <w:rPr/>
        <w:t>Get power and natural gas from where it is to where it is needed</w:t>
      </w:r>
    </w:p>
    <w:p>
      <w:pPr>
        <w:pStyle w:val="BodyTextIndent2"/>
        <w:ind w:start="792" w:end="0"/>
        <w:rPr/>
      </w:pPr>
      <w:r>
        <w:rPr/>
        <w:t>Place all uses of the transmission system under the same rates, terms and conditions of the same FERC approved tariff.</w:t>
      </w:r>
    </w:p>
    <w:p>
      <w:pPr>
        <w:pStyle w:val="Normal"/>
        <w:numPr>
          <w:ilvl w:val="0"/>
          <w:numId w:val="2"/>
        </w:numPr>
        <w:tabs>
          <w:tab w:val="clear" w:pos="720"/>
          <w:tab w:val="left" w:pos="360" w:leader="none"/>
        </w:tabs>
        <w:spacing w:before="0" w:after="120"/>
        <w:rPr/>
      </w:pPr>
      <w:r>
        <w:rPr/>
        <w:t>Establish Western U.S. system operator to manage the flows of power on an open access basis across the Western United States and include public power entities in Western U.S., including BPA.</w:t>
      </w:r>
    </w:p>
    <w:p>
      <w:pPr>
        <w:pStyle w:val="Normal"/>
        <w:numPr>
          <w:ilvl w:val="0"/>
          <w:numId w:val="4"/>
        </w:numPr>
        <w:spacing w:before="0" w:after="120"/>
        <w:jc w:val="both"/>
        <w:rPr/>
      </w:pPr>
      <w:r>
        <w:rPr/>
        <w:t>Develop and implement a non-discriminatory open access tariff (no historic or utility preference in access rights) to be applied across the Western System Coordinating Council.</w:t>
      </w:r>
    </w:p>
    <w:p>
      <w:pPr>
        <w:pStyle w:val="Normal"/>
        <w:numPr>
          <w:ilvl w:val="0"/>
          <w:numId w:val="4"/>
        </w:numPr>
        <w:spacing w:before="0" w:after="120"/>
        <w:jc w:val="both"/>
        <w:rPr/>
      </w:pPr>
      <w:r>
        <w:rPr/>
        <w:t>Place all high voltage transmission under the jurisdiction of the FERC.</w:t>
      </w:r>
    </w:p>
    <w:p>
      <w:pPr>
        <w:pStyle w:val="Normal"/>
        <w:ind w:start="180" w:end="0"/>
        <w:rPr/>
      </w:pPr>
      <w:r>
        <w:rPr/>
      </w:r>
    </w:p>
    <w:p>
      <w:pPr>
        <w:pStyle w:val="Normal"/>
        <w:numPr>
          <w:ilvl w:val="0"/>
          <w:numId w:val="2"/>
        </w:numPr>
        <w:tabs>
          <w:tab w:val="clear" w:pos="720"/>
          <w:tab w:val="left" w:pos="360" w:leader="none"/>
        </w:tabs>
        <w:spacing w:before="0" w:after="120"/>
        <w:jc w:val="both"/>
        <w:rPr/>
      </w:pPr>
      <w:r>
        <w:rPr/>
        <w:t>Expedited siting authority (with right of eminent domain) for transmission system upgrades</w:t>
      </w:r>
    </w:p>
    <w:p>
      <w:pPr>
        <w:pStyle w:val="Normal"/>
        <w:numPr>
          <w:ilvl w:val="0"/>
          <w:numId w:val="2"/>
        </w:numPr>
        <w:tabs>
          <w:tab w:val="clear" w:pos="720"/>
          <w:tab w:val="left" w:pos="360" w:leader="none"/>
        </w:tabs>
        <w:spacing w:before="0" w:after="120"/>
        <w:jc w:val="both"/>
        <w:rPr/>
      </w:pPr>
      <w:r>
        <w:rPr/>
        <w:t>Appropriate $300 million to upgrade Path 15 between Northern and Southern California.</w:t>
      </w:r>
    </w:p>
    <w:p>
      <w:pPr>
        <w:pStyle w:val="Normal"/>
        <w:numPr>
          <w:ilvl w:val="0"/>
          <w:numId w:val="2"/>
        </w:numPr>
        <w:rPr/>
      </w:pPr>
      <w:r>
        <w:rPr/>
        <w:t>Facilitate the removal of bottlenecks in gas transmission facilities subject to State jurisdiction by creating financial incentives and removing regulatory barriers.</w:t>
      </w:r>
    </w:p>
    <w:p>
      <w:pPr>
        <w:pStyle w:val="Normal"/>
        <w:ind w:start="432" w:end="0"/>
        <w:rPr/>
      </w:pPr>
      <w:r>
        <w:rPr/>
      </w:r>
    </w:p>
    <w:p>
      <w:pPr>
        <w:pStyle w:val="Heading1"/>
        <w:ind w:hanging="0" w:start="0"/>
        <w:rPr/>
      </w:pPr>
      <w:r>
        <w:rPr/>
        <w:t>Conditions on appropriated funds</w:t>
      </w:r>
    </w:p>
    <w:p>
      <w:pPr>
        <w:pStyle w:val="Normal"/>
        <w:rPr/>
      </w:pPr>
      <w:r>
        <w:rPr/>
      </w:r>
    </w:p>
    <w:p>
      <w:pPr>
        <w:pStyle w:val="Normal"/>
        <w:numPr>
          <w:ilvl w:val="0"/>
          <w:numId w:val="2"/>
        </w:numPr>
        <w:tabs>
          <w:tab w:val="clear" w:pos="720"/>
          <w:tab w:val="left" w:pos="360" w:leader="none"/>
        </w:tabs>
        <w:spacing w:before="0" w:after="120"/>
        <w:jc w:val="both"/>
        <w:rPr/>
      </w:pPr>
      <w:r>
        <w:rPr/>
        <w:t>California passes, with 60 days, legislation providing for full funding (through rates or otherwise) of outstanding amounts owed and sufficient to recover, on an ongoing basis, the cost of power to serve California, including power produced by qualifying facilities (QFs).</w:t>
      </w:r>
    </w:p>
    <w:p>
      <w:pPr>
        <w:pStyle w:val="Normal"/>
        <w:numPr>
          <w:ilvl w:val="0"/>
          <w:numId w:val="2"/>
        </w:numPr>
        <w:tabs>
          <w:tab w:val="clear" w:pos="720"/>
          <w:tab w:val="left" w:pos="360" w:leader="none"/>
        </w:tabs>
        <w:spacing w:before="0" w:after="120"/>
        <w:jc w:val="both"/>
        <w:rPr/>
      </w:pPr>
      <w:r>
        <w:rPr/>
        <w:t>California passes, within 60 days, legislation creating a central siting authority with the power to fully authorize the construction of new generation, gas pipelines and electric transmission facilities.  The central siting authority shall establish a process for making final determinations on site requests within six months from the filing of an application.</w:t>
      </w:r>
    </w:p>
    <w:p>
      <w:pPr>
        <w:pStyle w:val="Normal"/>
        <w:numPr>
          <w:ilvl w:val="0"/>
          <w:numId w:val="2"/>
        </w:numPr>
        <w:jc w:val="both"/>
        <w:rPr>
          <w:color w:val="000000"/>
          <w:szCs w:val="20"/>
        </w:rPr>
      </w:pPr>
      <w:r>
        <w:rPr/>
        <w:t>California passes, within 60 days, legislation that institutes an effective demand “buy downs” that allow large end users to receive wholesale market rates for reducing demand.</w:t>
      </w:r>
    </w:p>
    <w:p>
      <w:pPr>
        <w:pStyle w:val="Normal"/>
        <w:numPr>
          <w:ilvl w:val="0"/>
          <w:numId w:val="2"/>
        </w:numPr>
        <w:jc w:val="both"/>
        <w:rPr>
          <w:color w:val="000000"/>
          <w:szCs w:val="20"/>
        </w:rPr>
      </w:pPr>
      <w:r>
        <w:rPr/>
        <w:t>California pass legislation to facilitate the removal of bottlenecks on intrastate natural gas pipelines subject to its jurisdiction.</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92"/>
        </w:tabs>
        <w:ind w:start="792" w:hanging="360"/>
      </w:pPr>
      <w:rPr>
        <w:rFonts w:ascii="Symbol" w:hAnsi="Symbol" w:cs="Symbol" w:hint="default"/>
      </w:rPr>
    </w:lvl>
  </w:abstractNum>
  <w:abstractNum w:abstractNumId="3">
    <w:lvl w:ilvl="0">
      <w:start w:val="1"/>
      <w:numFmt w:val="bullet"/>
      <w:lvlText w:val=""/>
      <w:lvlJc w:val="start"/>
      <w:pPr>
        <w:tabs>
          <w:tab w:val="num" w:pos="432"/>
        </w:tabs>
        <w:ind w:start="432" w:hanging="432"/>
      </w:pPr>
      <w:rPr>
        <w:rFonts w:ascii="Symbol" w:hAnsi="Symbol" w:cs="Symbol" w:hint="default"/>
        <w:color w:val="000000"/>
      </w:rPr>
    </w:lvl>
  </w:abstractNum>
  <w:abstractNum w:abstractNumId="4">
    <w:lvl w:ilvl="0">
      <w:start w:val="1"/>
      <w:numFmt w:val="bullet"/>
      <w:lvlText w:val=""/>
      <w:lvlJc w:val="start"/>
      <w:pPr>
        <w:tabs>
          <w:tab w:val="num" w:pos="1512"/>
        </w:tabs>
        <w:ind w:start="1512" w:hanging="360"/>
      </w:pPr>
      <w:rPr>
        <w:rFonts w:ascii="Symbol" w:hAnsi="Symbol" w:cs="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1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u w:val="single"/>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rFonts w:ascii="Symbol" w:hAnsi="Symbol" w:cs="Symbol"/>
      <w:color w:val="000000"/>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4z0">
    <w:name w:val="WW8Num4z0"/>
    <w:qFormat/>
    <w:rPr>
      <w:rFonts w:ascii="Courier New" w:hAnsi="Courier New" w:cs="Courier New"/>
    </w:rPr>
  </w:style>
  <w:style w:type="character" w:styleId="WW8Num4z1">
    <w:name w:val="WW8Num4z1"/>
    <w:qFormat/>
    <w:rPr>
      <w:rFonts w:ascii="Symbol" w:hAnsi="Symbol" w:cs="Symbol"/>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6z3">
    <w:name w:val="WW8Num6z3"/>
    <w:qFormat/>
    <w:rPr>
      <w:rFonts w:ascii="Symbol" w:hAnsi="Symbol" w:cs="Symbol"/>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Wingdings" w:hAnsi="Wingdings" w:cs="Wingdings"/>
    </w:rPr>
  </w:style>
  <w:style w:type="character" w:styleId="WW8Num9z1">
    <w:name w:val="WW8Num9z1"/>
    <w:qFormat/>
    <w:rPr>
      <w:rFonts w:ascii="Courier New" w:hAnsi="Courier New" w:cs="Courier New"/>
    </w:rPr>
  </w:style>
  <w:style w:type="character" w:styleId="WW8Num9z3">
    <w:name w:val="WW8Num9z3"/>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360" w:end="0"/>
    </w:pPr>
    <w:rPr/>
  </w:style>
  <w:style w:type="paragraph" w:styleId="BodyTextIndent2">
    <w:name w:val="Body Text Indent 2"/>
    <w:basedOn w:val="Normal"/>
    <w:qFormat/>
    <w:pPr>
      <w:spacing w:before="0" w:after="120"/>
      <w:ind w:hanging="0" w:start="360" w:end="0"/>
      <w:jc w:val="both"/>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194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2001-03-22T16:41:00Z</dcterms:created>
  <dc:creator>mmcvick</dc:creator>
  <dc:description/>
  <dc:language>en-CA</dc:language>
  <cp:lastModifiedBy>tbriggs</cp:lastModifiedBy>
  <cp:lastPrinted>2001-03-23T14:47:00Z</cp:lastPrinted>
  <dcterms:modified xsi:type="dcterms:W3CDTF">2001-03-23T17:26:00Z</dcterms:modified>
  <cp:revision>18</cp:revision>
  <dc:subject/>
  <dc:title>Emergency Measures for Western Power Markets</dc:title>
</cp:coreProperties>
</file>