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t>DRAFT</w:t>
      </w:r>
    </w:p>
    <w:p>
      <w:pPr>
        <w:pStyle w:val="Normal"/>
        <w:rPr>
          <w:b/>
          <w:u w:val="single"/>
        </w:rPr>
      </w:pPr>
      <w:r>
        <w:rPr>
          <w:b/>
          <w:u w:val="single"/>
        </w:rPr>
      </w:r>
    </w:p>
    <w:p>
      <w:pPr>
        <w:pStyle w:val="Normal"/>
        <w:rPr>
          <w:u w:val="single"/>
        </w:rPr>
      </w:pPr>
      <w:r>
        <w:rPr>
          <w:u w:val="single"/>
        </w:rPr>
        <w:t>Views of the Florida Transport Market through 3-2005 (PanNat term)</w:t>
      </w:r>
    </w:p>
    <w:p>
      <w:pPr>
        <w:pStyle w:val="Normal"/>
        <w:rPr>
          <w:u w:val="single"/>
        </w:rPr>
      </w:pPr>
      <w:r>
        <w:rPr>
          <w:u w:val="single"/>
        </w:rPr>
      </w:r>
    </w:p>
    <w:p>
      <w:pPr>
        <w:pStyle w:val="Normal"/>
        <w:rPr/>
      </w:pPr>
      <w:r>
        <w:rPr/>
      </w:r>
    </w:p>
    <w:p>
      <w:pPr>
        <w:pStyle w:val="Normal"/>
        <w:rPr/>
      </w:pPr>
      <w:r>
        <w:rPr/>
        <w:t>Why is “Transportation” embedded in the transaction?</w:t>
      </w:r>
    </w:p>
    <w:p>
      <w:pPr>
        <w:pStyle w:val="Normal"/>
        <w:rPr/>
      </w:pPr>
      <w:r>
        <w:rPr/>
      </w:r>
    </w:p>
    <w:p>
      <w:pPr>
        <w:pStyle w:val="Normal"/>
        <w:rPr/>
      </w:pPr>
      <w:r>
        <w:rPr/>
        <w:t xml:space="preserve">The original gas supply contracts for FP&amp;L and other Florida electric and gas utilities were all with FGT.   FGT’s service was a “bundled” service with the gas sales and delivery points at the “citygate,” or at the location where gas was used by the utility.  </w:t>
      </w:r>
    </w:p>
    <w:p>
      <w:pPr>
        <w:pStyle w:val="Normal"/>
        <w:rPr/>
      </w:pPr>
      <w:r>
        <w:rPr/>
      </w:r>
    </w:p>
    <w:p>
      <w:pPr>
        <w:pStyle w:val="Normal"/>
        <w:rPr/>
      </w:pPr>
      <w:r>
        <w:rPr/>
        <w:t>Throughout the 1980’s and early 1990’s, FERC implemented numerous progressive versions of pipeline operating methodologies that separated the wellhead gas from the pipeline transportation (transport of the gas from the producing regions to the market areas).  These efforts largely culminated in Order 636 where FERC totally unbundled the commodity and transportation, leaving the pipelines as transporters only, and completion of moving the sale of interstate gas supply into a totally unregulated business dominated by marketers and producers.</w:t>
      </w:r>
    </w:p>
    <w:p>
      <w:pPr>
        <w:pStyle w:val="Normal"/>
        <w:rPr/>
      </w:pPr>
      <w:r>
        <w:rPr/>
      </w:r>
    </w:p>
    <w:p>
      <w:pPr>
        <w:pStyle w:val="Normal"/>
        <w:rPr/>
      </w:pPr>
      <w:r>
        <w:rPr/>
        <w:t xml:space="preserve">All pre-existing pipeline sales contracts had to be terminated, or assigned and split between transport and supply.  Many combinations of contracts resulted with the most common being that the utilities took transportation agreements with quantities the same as their old sales agreements, and the gas supply being assigned to marketers.  This was the predominant arrangement in Florida.  </w:t>
      </w:r>
    </w:p>
    <w:p>
      <w:pPr>
        <w:pStyle w:val="Normal"/>
        <w:rPr/>
      </w:pPr>
      <w:r>
        <w:rPr/>
      </w:r>
    </w:p>
    <w:p>
      <w:pPr>
        <w:pStyle w:val="Normal"/>
        <w:rPr/>
      </w:pPr>
      <w:r>
        <w:rPr/>
        <w:t xml:space="preserve">One of the challenges was to maintain equivalent economics after unbundling, otherwise unbundling would never have been successful.  Therefore, after splitting gas and transport, the utilities were paying the same total costs for gas and transport, which is evidenced by the complete success of unbundling the natural gas  industry nationwide, and the absence of any requests to state PSC’s to recover increased costs due to unbundling – all of which is a matter of public record.  </w:t>
      </w:r>
    </w:p>
    <w:p>
      <w:pPr>
        <w:pStyle w:val="Normal"/>
        <w:rPr/>
      </w:pPr>
      <w:r>
        <w:rPr/>
      </w:r>
    </w:p>
    <w:p>
      <w:pPr>
        <w:pStyle w:val="Normal"/>
        <w:rPr/>
      </w:pPr>
      <w:r>
        <w:rPr/>
        <w:t xml:space="preserve">Precisely this situation exists with FGT, Citrus, and FP&amp;L through the progression of contract restructurings that have taken place.  In addition, to the restructuring activity to execute unbundling, FP&amp;L restructured its gas supply contracts with Citrus a number of times to, among other things, increase quantity and pricing flexibility, increase quantities, and extend the term.  The PanNat quantities have always been part of the baseload, firm take, quantities in the post-FGT unbundling Citrus contract(s).  </w:t>
      </w:r>
    </w:p>
    <w:p>
      <w:pPr>
        <w:pStyle w:val="Normal"/>
        <w:rPr/>
      </w:pPr>
      <w:r>
        <w:rPr/>
      </w:r>
    </w:p>
    <w:p>
      <w:pPr>
        <w:pStyle w:val="Normal"/>
        <w:rPr/>
      </w:pPr>
      <w:r>
        <w:rPr/>
        <w:t>The foundation economics in every restructuring has preserved the original bundled sales economics with changes only related to flexibility changes, quantity increases, and lengthening term.  As a matter of public record, FP&amp;L has reported positive results to and received approvals from the Florida Public Service Commission (FPSC) subsequent to every restructuring involving FGT and Citrus.  Such reporting takes into account both wellhead and delivered gas economics.  If unbundling, or other subsequent restructuring activity had increased FP&amp;L’s costs for delivered gas then those results would have been reported to the Commission, and either disallowed or not approved – but this has never been the case.</w:t>
      </w:r>
    </w:p>
    <w:p>
      <w:pPr>
        <w:pStyle w:val="Normal"/>
        <w:rPr/>
      </w:pPr>
      <w:r>
        <w:rPr/>
      </w:r>
    </w:p>
    <w:p>
      <w:pPr>
        <w:pStyle w:val="Normal"/>
        <w:rPr/>
      </w:pPr>
      <w:r>
        <w:rPr/>
        <w:t xml:space="preserve">In addition, in Florida the FPSC requires that utilities practice least cost dispatching of fuel supplies and generating plants.  They run their Production Model (Promod) at least daily to assess changes in costs and availability of fuel sources and units.  Only current costs and availability is utilized.  Future or projected costs and availability can only be taken into account on deal structuring and unit planning.  In addition to the strict rules governing daily dispatch of fuels and units, the FPSC compares current activity to past years.   Throughout the years, the Citrus baseload gas including PanNat has </w:t>
      </w:r>
      <w:r>
        <w:rPr>
          <w:i/>
        </w:rPr>
        <w:t>always</w:t>
      </w:r>
      <w:r>
        <w:rPr/>
        <w:t xml:space="preserve"> been dispatched, and has never been part of any discussion regarding need for interruptions or displacement by resid.</w:t>
      </w:r>
    </w:p>
    <w:p>
      <w:pPr>
        <w:pStyle w:val="Normal"/>
        <w:rPr/>
      </w:pPr>
      <w:r>
        <w:rPr/>
      </w:r>
    </w:p>
    <w:p>
      <w:pPr>
        <w:pStyle w:val="Normal"/>
        <w:rPr/>
      </w:pPr>
      <w:r>
        <w:rPr/>
        <w:t xml:space="preserve">Based on the fact that Florida utilities operate under (1) strict reporting and approval procedures for significant new and restructured contracts, and (2) strict practice of least cost dispatch procedures for delivered fuels and units, all of which is public information; and that the Citrus baseload gas (1) has never  been cut by FP&amp;L to make room for resid, (2) has never been reduced in the restructurings, but has actually been increased over time, and (3) continues to be one of the largest gas contracts in the country, it is clear that the Citrus sale to FP&amp;L has (1) transport cost embedded, and (2) is competitive with resid.  </w:t>
      </w:r>
    </w:p>
    <w:p>
      <w:pPr>
        <w:pStyle w:val="Normal"/>
        <w:rPr/>
      </w:pPr>
      <w:r>
        <w:rPr/>
      </w:r>
    </w:p>
    <w:p>
      <w:pPr>
        <w:pStyle w:val="Normal"/>
        <w:rPr/>
      </w:pPr>
      <w:r>
        <w:rPr/>
        <w:t>If the PanNat contract had said that Citrus had to transport the gas and directly pay for the transport, then this would have been done. Evidence of FP&amp;L’s flexibility with Citrus in this area (and no other suppliers) are the operating arrangements between Citrus and FP&amp;L.  Even though FP&amp;L holds and pays the transport, Citrus has always played an active role in the operation of the transport agreements in a manner well beyond the industry norm.  Specifically, Citrus schedules the “into the pipe” nominations of its gas and either FP&amp;l or Citrus completes the downstream nominations of which plants the gas flows to.  The openness of this arrangement is almost unprecedented in the industry.</w:t>
      </w:r>
    </w:p>
    <w:p>
      <w:pPr>
        <w:pStyle w:val="Normal"/>
        <w:rPr/>
      </w:pPr>
      <w:r>
        <w:rPr/>
      </w:r>
    </w:p>
    <w:p>
      <w:pPr>
        <w:pStyle w:val="Normal"/>
        <w:rPr/>
      </w:pPr>
      <w:r>
        <w:rPr/>
      </w:r>
    </w:p>
    <w:p>
      <w:pPr>
        <w:pStyle w:val="Normal"/>
        <w:rPr/>
      </w:pPr>
      <w:r>
        <w:rPr/>
      </w:r>
    </w:p>
    <w:p>
      <w:pPr>
        <w:pStyle w:val="Normal"/>
        <w:rPr/>
      </w:pPr>
      <w:r>
        <w:rPr/>
        <w:t>Citrus’s Obligations under the Agreement:</w:t>
      </w:r>
    </w:p>
    <w:p>
      <w:pPr>
        <w:pStyle w:val="Normal"/>
        <w:rPr/>
      </w:pPr>
      <w:r>
        <w:rPr/>
      </w:r>
    </w:p>
    <w:p>
      <w:pPr>
        <w:pStyle w:val="Normal"/>
        <w:rPr/>
      </w:pPr>
      <w:r>
        <w:rPr/>
        <w:t>Citrus must take 80,000/day (otherwise Duke’s delivery obligation could be reduced).</w:t>
      </w:r>
    </w:p>
    <w:p>
      <w:pPr>
        <w:pStyle w:val="Normal"/>
        <w:rPr/>
      </w:pPr>
      <w:r>
        <w:rPr/>
        <w:t>Citrus must provide firm takeaway capability to “pull” the gas at Manchester (constrained area).</w:t>
      </w:r>
    </w:p>
    <w:p>
      <w:pPr>
        <w:pStyle w:val="Normal"/>
        <w:rPr/>
      </w:pPr>
      <w:r>
        <w:rPr/>
        <w:t>Gas must be consumed (a) in Florida, (b) for electric generation, and (c) to compete with Resid.</w:t>
      </w:r>
    </w:p>
    <w:p>
      <w:pPr>
        <w:pStyle w:val="Normal"/>
        <w:rPr/>
      </w:pPr>
      <w:r>
        <w:rPr/>
      </w:r>
    </w:p>
    <w:p>
      <w:pPr>
        <w:pStyle w:val="Normal"/>
        <w:rPr/>
      </w:pPr>
      <w:r>
        <w:rPr/>
      </w:r>
    </w:p>
    <w:p>
      <w:pPr>
        <w:pStyle w:val="Normal"/>
        <w:rPr/>
      </w:pPr>
      <w:r>
        <w:rPr/>
        <w:t>How is the “Transport” market be viewed?</w:t>
      </w:r>
    </w:p>
    <w:p>
      <w:pPr>
        <w:pStyle w:val="Normal"/>
        <w:rPr/>
      </w:pPr>
      <w:r>
        <w:rPr/>
      </w:r>
    </w:p>
    <w:p>
      <w:pPr>
        <w:pStyle w:val="Normal"/>
        <w:rPr/>
      </w:pPr>
      <w:r>
        <w:rPr/>
        <w:t>Delivered Gas – The mid-curve or the actual prices has been at $0.60 for a 2-3 years.  The offer has gone from mid-$0.60’s to mid-$0.70’s</w:t>
      </w:r>
    </w:p>
    <w:p>
      <w:pPr>
        <w:pStyle w:val="Normal"/>
        <w:rPr/>
      </w:pPr>
      <w:r>
        <w:rPr/>
      </w:r>
    </w:p>
    <w:p>
      <w:pPr>
        <w:pStyle w:val="Normal"/>
        <w:rPr/>
      </w:pPr>
      <w:r>
        <w:rPr/>
        <w:t xml:space="preserve">FTS-1 capacity – Available pre-1995.  About $0.50 </w:t>
      </w:r>
      <w:r>
        <w:rPr>
          <w:u w:val="single"/>
        </w:rPr>
        <w:t>+</w:t>
      </w:r>
      <w:r>
        <w:rPr/>
        <w:t xml:space="preserve">, plus fuel.  Rarely available in the market anymore since it is so valuable.  </w:t>
      </w:r>
      <w:r>
        <w:rPr>
          <w:u w:val="single"/>
        </w:rPr>
        <w:t xml:space="preserve">FP&amp;L’s FTS-1 capacity is used to move most of the PanNat gas to Florida.  This is logical since this agreement is the </w:t>
      </w:r>
      <w:r>
        <w:rPr>
          <w:i/>
          <w:u w:val="single"/>
        </w:rPr>
        <w:t>only</w:t>
      </w:r>
      <w:r>
        <w:rPr>
          <w:u w:val="single"/>
        </w:rPr>
        <w:t xml:space="preserve"> agreement that has the “Manchester” interconnect as a “primary firm receipt point.”</w:t>
      </w:r>
    </w:p>
    <w:p>
      <w:pPr>
        <w:pStyle w:val="Normal"/>
        <w:rPr>
          <w:u w:val="single"/>
        </w:rPr>
      </w:pPr>
      <w:r>
        <w:rPr>
          <w:u w:val="single"/>
        </w:rPr>
      </w:r>
    </w:p>
    <w:p>
      <w:pPr>
        <w:pStyle w:val="Normal"/>
        <w:rPr/>
      </w:pPr>
      <w:r>
        <w:rPr/>
        <w:t xml:space="preserve">FTS-2 capacity – Broadly available since 1995 via FGT expansions and from other customers.   Price is about $0.76 </w:t>
      </w:r>
      <w:r>
        <w:rPr>
          <w:u w:val="single"/>
        </w:rPr>
        <w:t>+</w:t>
      </w:r>
      <w:r>
        <w:rPr/>
        <w:t>.  Used for virtually all long term deals within past 5 years or so – sometimes quoted with a small discount for long term deals.</w:t>
      </w:r>
    </w:p>
    <w:p>
      <w:pPr>
        <w:pStyle w:val="Normal"/>
        <w:rPr/>
      </w:pPr>
      <w:r>
        <w:rPr/>
      </w:r>
    </w:p>
    <w:p>
      <w:pPr>
        <w:pStyle w:val="Normal"/>
        <w:rPr/>
      </w:pPr>
      <w:r>
        <w:rPr/>
        <w:t>New Expansions Capacity (FTS-3 or FTS-2 plus surcharges) – The only capacity available in “size” longer term. With the recent view that the next FGT expansions will be at FTS-2 or higher (estimates $0.85 to $1.35), FTS-2 availability is minimal.</w:t>
      </w:r>
    </w:p>
    <w:p>
      <w:pPr>
        <w:pStyle w:val="Normal"/>
        <w:rPr/>
      </w:pPr>
      <w:r>
        <w:rPr/>
      </w:r>
    </w:p>
    <w:p>
      <w:pPr>
        <w:pStyle w:val="Normal"/>
        <w:rPr/>
      </w:pPr>
      <w:r>
        <w:rPr/>
      </w:r>
    </w:p>
    <w:p>
      <w:pPr>
        <w:pStyle w:val="Normal"/>
        <w:rPr/>
      </w:pPr>
      <w:r>
        <w:rPr/>
        <w:t xml:space="preserve">Did Citrus move all gas to Florida?  </w:t>
      </w:r>
    </w:p>
    <w:p>
      <w:pPr>
        <w:pStyle w:val="Normal"/>
        <w:rPr/>
      </w:pPr>
      <w:r>
        <w:rPr/>
      </w:r>
    </w:p>
    <w:p>
      <w:pPr>
        <w:pStyle w:val="Normal"/>
        <w:rPr/>
      </w:pPr>
      <w:r>
        <w:rPr/>
        <w:t>Duke knows the answer.  Duke has to schedule their gas (whether LNG or cover gas) from Trunkline into FGT, and they have to confirm Citrus’s nom’s on FGT.  Quantities and contract numbers are exchanged between Citrus, Duke, and the pipelines, and are cross-confirmed by the pipelines – otherwise the gas would not be allowed to flow.  Duke also knows that it is almost never economical to sell/deliver any gas off of FGT except inside the State of Florida market.  All of this information is very transparent.</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 Subject to Attorney Client Privilege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2000-12-04T16:05:00Z</dcterms:created>
  <dc:creator>David Fairley</dc:creator>
  <dc:description/>
  <dc:language>en-CA</dc:language>
  <cp:lastModifiedBy>David Fairley</cp:lastModifiedBy>
  <cp:lastPrinted>2000-12-04T11:14:00Z</cp:lastPrinted>
  <dcterms:modified xsi:type="dcterms:W3CDTF">2000-12-04T16:05:00Z</dcterms:modified>
  <cp:revision>2</cp:revision>
  <dc:subject/>
  <dc:title>Views of the Florida Transport Market through 3-2005 (PanNat term)</dc:title>
</cp:coreProperties>
</file>